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9598" w14:textId="26876088" w:rsidR="006E3563" w:rsidRPr="00D0459E" w:rsidRDefault="006E3563">
      <w:pPr>
        <w:rPr>
          <w:rFonts w:cstheme="minorHAnsi"/>
          <w:sz w:val="20"/>
          <w:szCs w:val="20"/>
        </w:rPr>
      </w:pPr>
    </w:p>
    <w:p w14:paraId="65F7BD56" w14:textId="065137F3" w:rsidR="003706BC" w:rsidRPr="00D0459E" w:rsidRDefault="003706BC" w:rsidP="00B84A1B">
      <w:pPr>
        <w:jc w:val="both"/>
        <w:rPr>
          <w:rFonts w:cstheme="minorHAnsi"/>
          <w:color w:val="464749"/>
          <w:sz w:val="2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D0459E" w14:paraId="36EB9FE3" w14:textId="77777777" w:rsidTr="008E06B4">
        <w:tc>
          <w:tcPr>
            <w:tcW w:w="9062" w:type="dxa"/>
            <w:gridSpan w:val="2"/>
            <w:shd w:val="clear" w:color="auto" w:fill="FFFFFF" w:themeFill="background1"/>
          </w:tcPr>
          <w:p w14:paraId="20F7B475" w14:textId="3CF86B45" w:rsidR="00383B3C" w:rsidRPr="00383B3C" w:rsidRDefault="00383B3C" w:rsidP="00383B3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Leh</w:t>
            </w:r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rplanvorlage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inkludierte</w:t>
            </w:r>
            <w:proofErr w:type="spellEnd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83B3C"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Pädagogen</w:t>
            </w:r>
            <w:proofErr w:type="spellEnd"/>
          </w:p>
          <w:p w14:paraId="0288031A" w14:textId="3A7C77FE" w:rsidR="00B84A1B" w:rsidRPr="00D0459E" w:rsidRDefault="003B42BC" w:rsidP="00383B3C">
            <w:pPr>
              <w:jc w:val="center"/>
              <w:rPr>
                <w:rFonts w:cstheme="minorHAnsi"/>
                <w:color w:val="FFC000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Fremdsprachliche</w:t>
            </w:r>
            <w:proofErr w:type="spellEnd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28"/>
                <w:szCs w:val="28"/>
                <w:shd w:val="clear" w:color="auto" w:fill="FFFFFF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Herausforderungen</w:t>
            </w:r>
            <w:proofErr w:type="spellEnd"/>
          </w:p>
        </w:tc>
      </w:tr>
      <w:tr w:rsidR="00B84A1B" w:rsidRPr="00D0459E" w14:paraId="5B63781D" w14:textId="77777777" w:rsidTr="00B84A1B">
        <w:tc>
          <w:tcPr>
            <w:tcW w:w="4531" w:type="dxa"/>
          </w:tcPr>
          <w:p w14:paraId="08619E17" w14:textId="295008FD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Identifizier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ung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von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Schlüsselqualifikationen</w:t>
            </w:r>
            <w:proofErr w:type="spellEnd"/>
          </w:p>
        </w:tc>
        <w:tc>
          <w:tcPr>
            <w:tcW w:w="4531" w:type="dxa"/>
          </w:tcPr>
          <w:p w14:paraId="729BB196" w14:textId="77777777" w:rsidR="003B42BC" w:rsidRPr="003B42BC" w:rsidRDefault="003B42BC" w:rsidP="003B42BC">
            <w:pPr>
              <w:pStyle w:val="berschrift1"/>
              <w:rPr>
                <w:sz w:val="28"/>
                <w:szCs w:val="28"/>
              </w:rPr>
            </w:pPr>
            <w:r w:rsidRPr="003B42BC">
              <w:rPr>
                <w:sz w:val="28"/>
                <w:szCs w:val="28"/>
              </w:rPr>
              <w:t xml:space="preserve">Fremdsprachliche Herausforderungen </w:t>
            </w:r>
          </w:p>
          <w:p w14:paraId="23FA7B93" w14:textId="59F8CD03" w:rsidR="00383B3C" w:rsidRPr="00FA7F13" w:rsidRDefault="003B42BC" w:rsidP="003B42BC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Sprachkenntnisse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sind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eine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Voraussetzung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um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aktiv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am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Arbeitsleben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an der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Gesellschaft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nicht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zuletzt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an der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Bildung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teilnehmen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können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Für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Fremdsprachenlernende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bedeutet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dies,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dass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ihre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kommunikativen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Fähigkeiten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wie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Sprechen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Hören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Lesen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Schreiben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auf flexible und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sichere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Weise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gefördert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werden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müssen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um das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notwendige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Verständnis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schaffen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damit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vom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Unterricht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profitieren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können</w:t>
            </w:r>
            <w:proofErr w:type="spellEnd"/>
            <w:r w:rsidRPr="003B42BC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0CEC9B86" w14:textId="77777777" w:rsidTr="00223D80">
        <w:tc>
          <w:tcPr>
            <w:tcW w:w="4531" w:type="dxa"/>
          </w:tcPr>
          <w:p w14:paraId="1203D5D7" w14:textId="58A0C84A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Ziele</w:t>
            </w:r>
            <w:proofErr w:type="spellEnd"/>
            <w:r w:rsidR="00226D71"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1E48A600" w14:textId="77777777" w:rsidR="003B42BC" w:rsidRPr="003B42BC" w:rsidRDefault="003B42BC" w:rsidP="003B42BC">
            <w:pPr>
              <w:pStyle w:val="berschrift2"/>
              <w:rPr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shd w:val="clear" w:color="auto" w:fill="FFFFFF"/>
                <w:lang w:val="en-GB"/>
              </w:rPr>
              <w:t>Wissensziele</w:t>
            </w:r>
            <w:proofErr w:type="spellEnd"/>
          </w:p>
          <w:p w14:paraId="641509B7" w14:textId="25B34FFF" w:rsidR="003B42BC" w:rsidRPr="003B42BC" w:rsidRDefault="003B42BC" w:rsidP="003B42BC">
            <w:pPr>
              <w:pStyle w:val="Listenabsatz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Verstehen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als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Lehrkraft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Unterrichtsmethoden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differenzieren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anpassen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bewerten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können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den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unterschiedlichen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sprachlichen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Bedürfnissen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gerecht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werden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die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unabhängigen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Lernern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Machen</w:t>
            </w:r>
          </w:p>
          <w:p w14:paraId="1622A8C5" w14:textId="515ABB4B" w:rsidR="003B42BC" w:rsidRPr="003B42BC" w:rsidRDefault="003B42BC" w:rsidP="003B42BC">
            <w:pPr>
              <w:pStyle w:val="Listenabsatz"/>
              <w:numPr>
                <w:ilvl w:val="0"/>
                <w:numId w:val="27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Als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Lehrkraft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müssen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über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grundlegendes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Verständnis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Konzepten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Vokabular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verfügen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wissen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beim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Erlernen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dieser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Konzepte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in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verschiedenen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Fertigkeiten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Fächern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unterstützen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können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4AB147A3" w14:textId="77777777" w:rsidR="003B42BC" w:rsidRPr="003B42BC" w:rsidRDefault="003B42BC" w:rsidP="003B42BC">
            <w:pPr>
              <w:pStyle w:val="berschrift2"/>
              <w:rPr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shd w:val="clear" w:color="auto" w:fill="FFFFFF"/>
                <w:lang w:val="en-GB"/>
              </w:rPr>
              <w:t>Qualifikationsziele</w:t>
            </w:r>
            <w:proofErr w:type="spellEnd"/>
          </w:p>
          <w:p w14:paraId="0E16094A" w14:textId="6BD39C76" w:rsidR="003B42BC" w:rsidRPr="003B42BC" w:rsidRDefault="003B42BC" w:rsidP="003B42BC">
            <w:pPr>
              <w:pStyle w:val="Listenabsatz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In der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Lage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sein,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Lernumgebung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schaffen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respektvolle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Brücken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zwischen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den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verschiedenen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sprachlichen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Identitäten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Schülerinnen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baut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Einheit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Neugierde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für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lastRenderedPageBreak/>
              <w:t>verschiedene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Kulturen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schafft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7E6F23E3" w14:textId="65CBA371" w:rsidR="003B42BC" w:rsidRPr="003B42BC" w:rsidRDefault="003B42BC" w:rsidP="003B42BC">
            <w:pPr>
              <w:pStyle w:val="Listenabsatz"/>
              <w:numPr>
                <w:ilvl w:val="0"/>
                <w:numId w:val="24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In der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Lage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sein, den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Wortschatz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die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Fähigkeiten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Fremdsprachenlernenden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testen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erfassen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08C0AAAA" w14:textId="77777777" w:rsidR="003B42BC" w:rsidRPr="003B42BC" w:rsidRDefault="003B42BC" w:rsidP="003B42BC">
            <w:pPr>
              <w:pStyle w:val="berschrift2"/>
              <w:rPr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shd w:val="clear" w:color="auto" w:fill="FFFFFF"/>
                <w:lang w:val="en-GB"/>
              </w:rPr>
              <w:t>Ziele</w:t>
            </w:r>
            <w:proofErr w:type="spellEnd"/>
            <w:r w:rsidRPr="003B42BC">
              <w:rPr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shd w:val="clear" w:color="auto" w:fill="FFFFFF"/>
                <w:lang w:val="en-GB"/>
              </w:rPr>
              <w:t>im</w:t>
            </w:r>
            <w:proofErr w:type="spellEnd"/>
            <w:r w:rsidRPr="003B42BC">
              <w:rPr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shd w:val="clear" w:color="auto" w:fill="FFFFFF"/>
                <w:lang w:val="en-GB"/>
              </w:rPr>
              <w:t>Bereich</w:t>
            </w:r>
            <w:proofErr w:type="spellEnd"/>
            <w:r w:rsidRPr="003B42BC">
              <w:rPr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shd w:val="clear" w:color="auto" w:fill="FFFFFF"/>
                <w:lang w:val="en-GB"/>
              </w:rPr>
              <w:t>Einstellung</w:t>
            </w:r>
            <w:proofErr w:type="spellEnd"/>
          </w:p>
          <w:p w14:paraId="382F62C3" w14:textId="4285D7C5" w:rsidR="00223D80" w:rsidRPr="003B42BC" w:rsidRDefault="003B42BC" w:rsidP="003B42BC">
            <w:pPr>
              <w:pStyle w:val="Listenabsatz"/>
              <w:numPr>
                <w:ilvl w:val="0"/>
                <w:numId w:val="2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Verstehen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wie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man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als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Lehrkraft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Kulturen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im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Klassenzimmer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erkennen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respektieren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kommunizieren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effektiv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ihnen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arbeiten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kann</w:t>
            </w:r>
            <w:proofErr w:type="spellEnd"/>
            <w:r w:rsidRPr="003B42BC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05DACC92" w14:textId="77777777" w:rsidTr="00B84A1B">
        <w:tc>
          <w:tcPr>
            <w:tcW w:w="4531" w:type="dxa"/>
          </w:tcPr>
          <w:p w14:paraId="5F24FF75" w14:textId="77777777" w:rsidR="00383B3C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83B3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Strategien:</w:t>
            </w:r>
          </w:p>
          <w:p w14:paraId="6C171E7F" w14:textId="519BC016" w:rsidR="00741471" w:rsidRPr="00383B3C" w:rsidRDefault="00383B3C" w:rsidP="00383B3C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83B3C">
              <w:rPr>
                <w:rFonts w:cstheme="minorHAnsi"/>
                <w:b/>
                <w:bCs/>
                <w:sz w:val="20"/>
                <w:szCs w:val="20"/>
              </w:rPr>
              <w:t>Bewährte Unterrichtspraktiken</w:t>
            </w:r>
          </w:p>
        </w:tc>
        <w:tc>
          <w:tcPr>
            <w:tcW w:w="4531" w:type="dxa"/>
          </w:tcPr>
          <w:p w14:paraId="10A89E65" w14:textId="21F0C308" w:rsidR="007D4034" w:rsidRPr="007D4034" w:rsidRDefault="007D4034" w:rsidP="007D4034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Machen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sich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internationalen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Lehrplänen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Strategien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Methoden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vertraut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auf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kulturelle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Vielfalt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ausgerichtet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sind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</w:p>
          <w:p w14:paraId="3021583E" w14:textId="77777777" w:rsidR="007D4034" w:rsidRPr="007D4034" w:rsidRDefault="007D4034" w:rsidP="007D4034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Studieren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relevante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Pädagogik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angewandte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Nutzung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Reflexionsnotizen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Lernprotokollen.</w:t>
            </w:r>
            <w:proofErr w:type="spellEnd"/>
          </w:p>
          <w:p w14:paraId="4DF9DE87" w14:textId="0B434E59" w:rsidR="00223D80" w:rsidRPr="007D4034" w:rsidRDefault="007D4034" w:rsidP="007D4034">
            <w:pPr>
              <w:pStyle w:val="Listenabsatz"/>
              <w:numPr>
                <w:ilvl w:val="0"/>
                <w:numId w:val="29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Studieren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lernen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Didaktik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Entwicklung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Muttersprachen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unterstützt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den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Bildungsbedarf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zusätzlichen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erfüllt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001361DF" w14:textId="77777777" w:rsidTr="00B84A1B">
        <w:tc>
          <w:tcPr>
            <w:tcW w:w="4531" w:type="dxa"/>
          </w:tcPr>
          <w:p w14:paraId="35E6A341" w14:textId="14E5C571" w:rsidR="00B84A1B" w:rsidRPr="00D0459E" w:rsidRDefault="00383B3C" w:rsidP="00383B3C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Lehransatz</w:t>
            </w:r>
            <w:proofErr w:type="spellEnd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/</w:t>
            </w:r>
            <w:proofErr w:type="spellStart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Methoden</w:t>
            </w:r>
            <w:proofErr w:type="spellEnd"/>
            <w:r w:rsidRPr="00383B3C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4531" w:type="dxa"/>
          </w:tcPr>
          <w:p w14:paraId="3E28198E" w14:textId="02E81E15" w:rsidR="007D4034" w:rsidRPr="007D4034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Erfahrungsaustausch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kritisches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Denken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über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Herausforderungen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Möglichkeiten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im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Unterricht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2369251E" w14:textId="532ED7D1" w:rsidR="007D4034" w:rsidRPr="007D4034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Fallbezogene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Aufgaben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Gruppenarbeit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13C1C326" w14:textId="12ED5048" w:rsidR="007D4034" w:rsidRPr="007D4034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Gruppen</w:t>
            </w:r>
            <w:proofErr w:type="spellEnd"/>
            <w:r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- </w:t>
            </w:r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Kooperationsaufgaben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bei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denen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Studierenden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ihr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normales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Fachgebiet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verlassen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sich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Themen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beschäftigen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müssen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normalerweise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nicht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studieren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oder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unterrichten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6C11C083" w14:textId="582465FB" w:rsidR="0089531D" w:rsidRPr="00AC0845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Theorie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-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Erfahrungsaustausch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schwierigen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Wörtern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schwierigem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Lesefluss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Vokabelaufgaben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Motivation.</w:t>
            </w:r>
          </w:p>
        </w:tc>
      </w:tr>
      <w:tr w:rsidR="00B84A1B" w:rsidRPr="00D0459E" w14:paraId="1C921A6D" w14:textId="77777777" w:rsidTr="00B84A1B">
        <w:tc>
          <w:tcPr>
            <w:tcW w:w="4531" w:type="dxa"/>
          </w:tcPr>
          <w:p w14:paraId="029E5A4B" w14:textId="753C8BB5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Lernumgebung</w:t>
            </w:r>
            <w:proofErr w:type="spellEnd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Dauer</w:t>
            </w:r>
            <w:proofErr w:type="spellEnd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Ausbildung</w:t>
            </w:r>
            <w:proofErr w:type="spellEnd"/>
          </w:p>
        </w:tc>
        <w:tc>
          <w:tcPr>
            <w:tcW w:w="4531" w:type="dxa"/>
          </w:tcPr>
          <w:p w14:paraId="40955847" w14:textId="77777777" w:rsidR="007D4034" w:rsidRPr="007D4034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Schulung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kann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Kombination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eLearning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praktischer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lastRenderedPageBreak/>
              <w:t>pädagogischer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Schulung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Angesicht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Angesicht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sein.  </w:t>
            </w:r>
          </w:p>
          <w:p w14:paraId="0FFA9E28" w14:textId="3C6877E1" w:rsidR="0092730F" w:rsidRPr="007D4034" w:rsidRDefault="007D4034" w:rsidP="007D4034">
            <w:pPr>
              <w:pStyle w:val="Listenabsatz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praktische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Ausbildung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kann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3-4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Stunden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dauern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73CBA635" w14:textId="77777777" w:rsidTr="00B84A1B">
        <w:tc>
          <w:tcPr>
            <w:tcW w:w="4531" w:type="dxa"/>
          </w:tcPr>
          <w:p w14:paraId="2C0C8A3B" w14:textId="12522C49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Form der </w:t>
            </w:r>
            <w:proofErr w:type="spellStart"/>
            <w:r w:rsidRPr="0022052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Ausbildung</w:t>
            </w:r>
            <w:proofErr w:type="spellEnd"/>
          </w:p>
        </w:tc>
        <w:tc>
          <w:tcPr>
            <w:tcW w:w="4531" w:type="dxa"/>
          </w:tcPr>
          <w:p w14:paraId="21F6D022" w14:textId="77777777" w:rsidR="007D4034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Kombination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eLearning und Face-to-Face-Training</w:t>
            </w:r>
          </w:p>
          <w:p w14:paraId="781FB765" w14:textId="1095B05A" w:rsidR="00335778" w:rsidRPr="00153311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Gruppe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3-10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Teilnehmern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pro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Klasse</w:t>
            </w:r>
            <w:proofErr w:type="spellEnd"/>
          </w:p>
        </w:tc>
      </w:tr>
      <w:tr w:rsidR="00B84A1B" w:rsidRPr="00D0459E" w14:paraId="56E7B33B" w14:textId="77777777" w:rsidTr="00B84A1B">
        <w:tc>
          <w:tcPr>
            <w:tcW w:w="4531" w:type="dxa"/>
          </w:tcPr>
          <w:p w14:paraId="66B43DA8" w14:textId="1B560666" w:rsidR="00B84A1B" w:rsidRPr="00D0459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</w:rPr>
              <w:t>Empfohlene Materialien und Ressourcen:</w:t>
            </w:r>
          </w:p>
        </w:tc>
        <w:tc>
          <w:tcPr>
            <w:tcW w:w="4531" w:type="dxa"/>
          </w:tcPr>
          <w:p w14:paraId="05F4E071" w14:textId="77777777" w:rsidR="007D4034" w:rsidRPr="007D4034" w:rsidRDefault="007D4034" w:rsidP="007D4034">
            <w:pPr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</w:pPr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 xml:space="preserve">Links </w:t>
            </w:r>
            <w:proofErr w:type="spellStart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>zu</w:t>
            </w:r>
            <w:proofErr w:type="spellEnd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>Lernressourcen</w:t>
            </w:r>
            <w:proofErr w:type="spellEnd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>sich</w:t>
            </w:r>
            <w:proofErr w:type="spellEnd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1E53091F" w14:textId="0330812A" w:rsidR="007D4034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internationalen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Lehrplänen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Strategien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Methoden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auf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kulturelle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Vielfalt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ausgerichtet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sind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</w:p>
          <w:p w14:paraId="7291BB55" w14:textId="3B3B7476" w:rsidR="007D4034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relevante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Pädagogik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angewandter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Einsatz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Reflexionsnotizen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Lernprotokollen</w:t>
            </w:r>
            <w:proofErr w:type="spellEnd"/>
          </w:p>
          <w:p w14:paraId="5BCC9A3F" w14:textId="4B289E42" w:rsidR="007D4034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Didaktik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die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Entwicklung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Muttersprachlern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unterstützt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den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pädagogischen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Bedürfnissen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Schülern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mit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zusätzlichen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Sprachen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gerecht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wird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53465228" w14:textId="3E9A2C42" w:rsidR="007D4034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Selbststudium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Identifizierung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der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eigenen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Stärken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und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Herausforderungen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in der Rolle des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Lehrers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4BCA9841" w14:textId="77777777" w:rsidR="007D4034" w:rsidRPr="007D4034" w:rsidRDefault="007D4034" w:rsidP="007D4034">
            <w:pPr>
              <w:ind w:left="360"/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</w:p>
          <w:p w14:paraId="363FD9A5" w14:textId="77777777" w:rsidR="007D4034" w:rsidRPr="007D4034" w:rsidRDefault="007D4034" w:rsidP="007D4034">
            <w:pPr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7D4034">
              <w:rPr>
                <w:rFonts w:cstheme="minorHAnsi"/>
                <w:b/>
                <w:sz w:val="24"/>
                <w:szCs w:val="24"/>
                <w:shd w:val="clear" w:color="auto" w:fill="FFFFFF"/>
                <w:lang w:val="en-GB"/>
              </w:rPr>
              <w:t>Fallbeschreibungen</w:t>
            </w:r>
            <w:proofErr w:type="spellEnd"/>
          </w:p>
          <w:p w14:paraId="2BAE405B" w14:textId="4A8D5539" w:rsidR="00906DF0" w:rsidRPr="007D4034" w:rsidRDefault="007D4034" w:rsidP="007D4034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Reihe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Fallbeschreibungen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typische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Herausforderungen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aufzeigen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die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Fremdsprachenlernende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im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Rahmen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des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Unterrichts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haben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können</w:t>
            </w:r>
            <w:proofErr w:type="spellEnd"/>
            <w:r w:rsidRPr="007D4034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646531EF" w14:textId="77777777" w:rsidTr="00B84A1B">
        <w:tc>
          <w:tcPr>
            <w:tcW w:w="4531" w:type="dxa"/>
          </w:tcPr>
          <w:p w14:paraId="11D3C5EA" w14:textId="3EAA0C94" w:rsidR="00B84A1B" w:rsidRPr="0022052E" w:rsidRDefault="0022052E" w:rsidP="0022052E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2052E">
              <w:rPr>
                <w:rFonts w:cstheme="minorHAnsi"/>
                <w:b/>
                <w:bCs/>
                <w:sz w:val="20"/>
                <w:szCs w:val="20"/>
              </w:rPr>
              <w:t>Beurteilungen:</w:t>
            </w:r>
            <w:r>
              <w:rPr>
                <w:rFonts w:cstheme="minorHAnsi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2052E">
              <w:rPr>
                <w:rFonts w:cstheme="minorHAnsi"/>
                <w:b/>
                <w:bCs/>
                <w:sz w:val="20"/>
                <w:szCs w:val="20"/>
              </w:rPr>
              <w:t>Vorschläge für mögliche Bewertungsinstrumente</w:t>
            </w:r>
          </w:p>
        </w:tc>
        <w:tc>
          <w:tcPr>
            <w:tcW w:w="4531" w:type="dxa"/>
          </w:tcPr>
          <w:p w14:paraId="01500939" w14:textId="3CA41FCC" w:rsidR="002C5A17" w:rsidRPr="002C5A17" w:rsidRDefault="002C5A17" w:rsidP="002C5A17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Das </w:t>
            </w: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eLearning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kann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durch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webbasierten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Test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gemessen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werden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einer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Reihe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von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Fragen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besteht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gibt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dem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Lehrer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sofortiges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Feedback.</w:t>
            </w:r>
          </w:p>
          <w:p w14:paraId="767E8368" w14:textId="77777777" w:rsidR="002C5A17" w:rsidRPr="002C5A17" w:rsidRDefault="002C5A17" w:rsidP="002C5A17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</w:p>
          <w:p w14:paraId="045C4F91" w14:textId="6E84135B" w:rsidR="00C6607F" w:rsidRPr="006B596A" w:rsidRDefault="002C5A17" w:rsidP="002C5A17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praktische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Ausbildung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wird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gemessen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indem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Studierenden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Reflexionsnotiz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auf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Grundlage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einer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vorgegebenen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Fallbeschreibung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erstellen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B84A1B" w:rsidRPr="00D0459E" w14:paraId="57F886C8" w14:textId="77777777" w:rsidTr="00B84A1B">
        <w:tc>
          <w:tcPr>
            <w:tcW w:w="4531" w:type="dxa"/>
          </w:tcPr>
          <w:p w14:paraId="193989E0" w14:textId="14A6377C" w:rsidR="00B84A1B" w:rsidRPr="00D0459E" w:rsidRDefault="0022052E" w:rsidP="008E06B4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Erwartete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Ergebnisse</w:t>
            </w:r>
            <w:proofErr w:type="spellEnd"/>
          </w:p>
        </w:tc>
        <w:tc>
          <w:tcPr>
            <w:tcW w:w="4531" w:type="dxa"/>
          </w:tcPr>
          <w:p w14:paraId="4DCD21B1" w14:textId="77777777" w:rsidR="002C5A17" w:rsidRPr="002C5A17" w:rsidRDefault="002C5A17" w:rsidP="002C5A17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Nach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Abschluss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Fortbildung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sollen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Lehrkräfte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in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Lage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sein</w:t>
            </w:r>
          </w:p>
          <w:p w14:paraId="519270B2" w14:textId="4042E1BD" w:rsidR="002C5A17" w:rsidRPr="002C5A17" w:rsidRDefault="002C5A17" w:rsidP="002C5A17">
            <w:pPr>
              <w:pStyle w:val="Listenabsatz"/>
              <w:numPr>
                <w:ilvl w:val="0"/>
                <w:numId w:val="30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lastRenderedPageBreak/>
              <w:t>sprachliche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Herausforderungen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zu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erkennen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,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Fremdsprachige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im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eigenen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Unterricht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haben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können</w:t>
            </w:r>
            <w:proofErr w:type="spellEnd"/>
          </w:p>
          <w:p w14:paraId="79FA3DFE" w14:textId="3E7E0C1A" w:rsidR="002C5A17" w:rsidRPr="002C5A17" w:rsidRDefault="002C5A17" w:rsidP="002C5A17">
            <w:pPr>
              <w:pStyle w:val="Listenabsatz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</w:pP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in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Lage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sein,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Herausforderungen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anzusprechen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und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konkrete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Maßnahmen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im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Rahmen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des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laufenden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Unterrichts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zu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ergreifen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, um das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Verständnis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und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Beteiligung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Schüler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am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Unterricht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zu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verbessern</w:t>
            </w:r>
            <w:proofErr w:type="spellEnd"/>
          </w:p>
          <w:p w14:paraId="4F6B0701" w14:textId="1029379B" w:rsidR="0091783A" w:rsidRPr="00B760EE" w:rsidRDefault="002C5A17" w:rsidP="002C5A17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- in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Lage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sein, die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Wirkung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der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eigenen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Maßnahmen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zu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bewerten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2C5A17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8E06B4" w:rsidRPr="00D0459E" w14:paraId="736E6886" w14:textId="77777777" w:rsidTr="00B84A1B">
        <w:tc>
          <w:tcPr>
            <w:tcW w:w="4531" w:type="dxa"/>
          </w:tcPr>
          <w:p w14:paraId="75897F7D" w14:textId="14BE6531" w:rsidR="008E06B4" w:rsidRPr="00D0459E" w:rsidRDefault="00093C8B" w:rsidP="008E06B4">
            <w:pPr>
              <w:pStyle w:val="Listenabsatz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Organisation der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>Entwickler</w:t>
            </w:r>
            <w:proofErr w:type="spellEnd"/>
          </w:p>
          <w:p w14:paraId="4B488D64" w14:textId="3B037CD2" w:rsidR="008E06B4" w:rsidRPr="00D0459E" w:rsidRDefault="008E06B4" w:rsidP="008E06B4">
            <w:pPr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</w:pPr>
            <w:r w:rsidRPr="00D0459E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n-GB"/>
              </w:rPr>
              <w:t xml:space="preserve">  </w:t>
            </w:r>
          </w:p>
        </w:tc>
        <w:tc>
          <w:tcPr>
            <w:tcW w:w="4531" w:type="dxa"/>
          </w:tcPr>
          <w:p w14:paraId="01C1604F" w14:textId="77777777" w:rsidR="002C5A17" w:rsidRPr="002C5A17" w:rsidRDefault="002C5A17" w:rsidP="002C5A17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Prios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Kompetanse</w:t>
            </w:r>
            <w:proofErr w:type="spellEnd"/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 xml:space="preserve"> AS</w:t>
            </w:r>
          </w:p>
          <w:p w14:paraId="7298788F" w14:textId="77777777" w:rsidR="002C5A17" w:rsidRPr="002C5A17" w:rsidRDefault="002C5A17" w:rsidP="002C5A17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</w:pP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post@prios.no</w:t>
            </w:r>
          </w:p>
          <w:p w14:paraId="3965049A" w14:textId="5E55F931" w:rsidR="008E06B4" w:rsidRPr="00D0459E" w:rsidRDefault="002C5A17" w:rsidP="002C5A17">
            <w:pPr>
              <w:pStyle w:val="Listenabsatz"/>
              <w:numPr>
                <w:ilvl w:val="0"/>
                <w:numId w:val="2"/>
              </w:numPr>
              <w:jc w:val="both"/>
              <w:rPr>
                <w:rFonts w:cstheme="minorHAnsi"/>
                <w:i/>
                <w:iCs/>
                <w:sz w:val="20"/>
                <w:szCs w:val="20"/>
                <w:shd w:val="clear" w:color="auto" w:fill="FFFFFF"/>
                <w:lang w:val="en-GB"/>
              </w:rPr>
            </w:pPr>
            <w:r w:rsidRPr="002C5A17">
              <w:rPr>
                <w:rFonts w:cstheme="minorHAnsi"/>
                <w:sz w:val="24"/>
                <w:szCs w:val="24"/>
                <w:shd w:val="clear" w:color="auto" w:fill="FFFFFF"/>
                <w:lang w:val="en-GB"/>
              </w:rPr>
              <w:t>www.prios.no</w:t>
            </w:r>
          </w:p>
        </w:tc>
      </w:tr>
    </w:tbl>
    <w:p w14:paraId="49D10934" w14:textId="77777777" w:rsidR="00B84A1B" w:rsidRPr="00D0459E" w:rsidRDefault="00B84A1B" w:rsidP="00B84A1B">
      <w:pPr>
        <w:jc w:val="both"/>
        <w:rPr>
          <w:rFonts w:cstheme="minorHAnsi"/>
          <w:sz w:val="20"/>
          <w:szCs w:val="20"/>
          <w:shd w:val="clear" w:color="auto" w:fill="FFFFFF"/>
          <w:lang w:val="en-GB"/>
        </w:rPr>
      </w:pPr>
    </w:p>
    <w:p w14:paraId="4902ACD4" w14:textId="604C1EDE" w:rsidR="003706BC" w:rsidRPr="00D0459E" w:rsidRDefault="003706BC" w:rsidP="003706BC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sectPr w:rsidR="003706BC" w:rsidRPr="00D045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5A03" w16cex:dateUtc="2021-12-06T07:44:00Z"/>
  <w16cex:commentExtensible w16cex:durableId="255859D3" w16cex:dateUtc="2021-12-06T07:43:00Z"/>
  <w16cex:commentExtensible w16cex:durableId="25585A91" w16cex:dateUtc="2021-12-06T07:46:00Z"/>
  <w16cex:commentExtensible w16cex:durableId="25585C6A" w16cex:dateUtc="2021-12-06T07:54:00Z"/>
  <w16cex:commentExtensible w16cex:durableId="25585D5C" w16cex:dateUtc="2021-12-06T07:58:00Z"/>
  <w16cex:commentExtensible w16cex:durableId="25585DEB" w16cex:dateUtc="2021-12-06T08:01:00Z"/>
  <w16cex:commentExtensible w16cex:durableId="25585F0B" w16cex:dateUtc="2021-12-06T08:06:00Z"/>
  <w16cex:commentExtensible w16cex:durableId="25585FB5" w16cex:dateUtc="2021-12-06T08:08:00Z"/>
  <w16cex:commentExtensible w16cex:durableId="25586090" w16cex:dateUtc="2021-12-06T08:12:00Z"/>
  <w16cex:commentExtensible w16cex:durableId="255860AA" w16cex:dateUtc="2021-12-06T08:12:00Z"/>
  <w16cex:commentExtensible w16cex:durableId="255860F8" w16cex:dateUtc="2021-12-06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DE6FD" w16cid:durableId="25585A03"/>
  <w16cid:commentId w16cid:paraId="504A5903" w16cid:durableId="255859D3"/>
  <w16cid:commentId w16cid:paraId="5BD4210C" w16cid:durableId="25585A91"/>
  <w16cid:commentId w16cid:paraId="18E78D5C" w16cid:durableId="25585C6A"/>
  <w16cid:commentId w16cid:paraId="1817C1A5" w16cid:durableId="25585D5C"/>
  <w16cid:commentId w16cid:paraId="38187AC3" w16cid:durableId="25585DEB"/>
  <w16cid:commentId w16cid:paraId="4B85AFDC" w16cid:durableId="25585F0B"/>
  <w16cid:commentId w16cid:paraId="2037929A" w16cid:durableId="25585FB5"/>
  <w16cid:commentId w16cid:paraId="4C23B64E" w16cid:durableId="25586090"/>
  <w16cid:commentId w16cid:paraId="7499C544" w16cid:durableId="255860AA"/>
  <w16cid:commentId w16cid:paraId="364AA69B" w16cid:durableId="255860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7E00" w14:textId="77777777" w:rsidR="00AB294B" w:rsidRDefault="00AB294B" w:rsidP="003706BC">
      <w:pPr>
        <w:spacing w:after="0" w:line="240" w:lineRule="auto"/>
      </w:pPr>
      <w:r>
        <w:separator/>
      </w:r>
    </w:p>
  </w:endnote>
  <w:endnote w:type="continuationSeparator" w:id="0">
    <w:p w14:paraId="1AD0B10D" w14:textId="77777777" w:rsidR="00AB294B" w:rsidRDefault="00AB294B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C045" w14:textId="2310DCB6" w:rsidR="0042026B" w:rsidRDefault="0042026B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A9D7E" w14:textId="77777777" w:rsidR="00AB294B" w:rsidRDefault="00AB294B" w:rsidP="003706BC">
      <w:pPr>
        <w:spacing w:after="0" w:line="240" w:lineRule="auto"/>
      </w:pPr>
      <w:r>
        <w:separator/>
      </w:r>
    </w:p>
  </w:footnote>
  <w:footnote w:type="continuationSeparator" w:id="0">
    <w:p w14:paraId="3C18F78E" w14:textId="77777777" w:rsidR="00AB294B" w:rsidRDefault="00AB294B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D287" w14:textId="0356EEDC" w:rsidR="003706BC" w:rsidRDefault="00DB4B63">
    <w:pPr>
      <w:pStyle w:val="Kopfzeile"/>
    </w:pPr>
    <w:r>
      <w:rPr>
        <w:noProof/>
        <w:lang w:val="de-DE" w:eastAsia="de-DE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3113"/>
    <w:multiLevelType w:val="hybridMultilevel"/>
    <w:tmpl w:val="C32CEF88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834"/>
    <w:multiLevelType w:val="hybridMultilevel"/>
    <w:tmpl w:val="3FDE99FA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74E"/>
    <w:multiLevelType w:val="hybridMultilevel"/>
    <w:tmpl w:val="4250821A"/>
    <w:lvl w:ilvl="0" w:tplc="FA54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486D"/>
    <w:multiLevelType w:val="hybridMultilevel"/>
    <w:tmpl w:val="705C0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59D3"/>
    <w:multiLevelType w:val="hybridMultilevel"/>
    <w:tmpl w:val="86DE9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57D9F"/>
    <w:multiLevelType w:val="hybridMultilevel"/>
    <w:tmpl w:val="6A84C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7453"/>
    <w:multiLevelType w:val="hybridMultilevel"/>
    <w:tmpl w:val="ABEAB57A"/>
    <w:lvl w:ilvl="0" w:tplc="DC1A7D1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A215AC"/>
    <w:multiLevelType w:val="hybridMultilevel"/>
    <w:tmpl w:val="BACA709C"/>
    <w:lvl w:ilvl="0" w:tplc="62805E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175BB"/>
    <w:multiLevelType w:val="hybridMultilevel"/>
    <w:tmpl w:val="A7D8993A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58F4"/>
    <w:multiLevelType w:val="hybridMultilevel"/>
    <w:tmpl w:val="AFB6886C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776D4"/>
    <w:multiLevelType w:val="hybridMultilevel"/>
    <w:tmpl w:val="0226CA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127D4"/>
    <w:multiLevelType w:val="hybridMultilevel"/>
    <w:tmpl w:val="D2886262"/>
    <w:lvl w:ilvl="0" w:tplc="FA542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629"/>
    <w:multiLevelType w:val="hybridMultilevel"/>
    <w:tmpl w:val="CCB6F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7F60"/>
    <w:multiLevelType w:val="hybridMultilevel"/>
    <w:tmpl w:val="A0207418"/>
    <w:lvl w:ilvl="0" w:tplc="0B784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269B"/>
    <w:multiLevelType w:val="hybridMultilevel"/>
    <w:tmpl w:val="8424E188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95369"/>
    <w:multiLevelType w:val="hybridMultilevel"/>
    <w:tmpl w:val="73B20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80444"/>
    <w:multiLevelType w:val="hybridMultilevel"/>
    <w:tmpl w:val="A8BCCE06"/>
    <w:lvl w:ilvl="0" w:tplc="DC1A7D1A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06A485F"/>
    <w:multiLevelType w:val="hybridMultilevel"/>
    <w:tmpl w:val="5748D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D7309"/>
    <w:multiLevelType w:val="hybridMultilevel"/>
    <w:tmpl w:val="E0105D56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46FB"/>
    <w:multiLevelType w:val="hybridMultilevel"/>
    <w:tmpl w:val="DC9259CC"/>
    <w:lvl w:ilvl="0" w:tplc="0B7849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35CC6"/>
    <w:multiLevelType w:val="hybridMultilevel"/>
    <w:tmpl w:val="E7A43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B0E65"/>
    <w:multiLevelType w:val="hybridMultilevel"/>
    <w:tmpl w:val="F03848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C268B"/>
    <w:multiLevelType w:val="hybridMultilevel"/>
    <w:tmpl w:val="10062A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35391"/>
    <w:multiLevelType w:val="hybridMultilevel"/>
    <w:tmpl w:val="54327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94F6E"/>
    <w:multiLevelType w:val="hybridMultilevel"/>
    <w:tmpl w:val="B4FA545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17258"/>
    <w:multiLevelType w:val="hybridMultilevel"/>
    <w:tmpl w:val="E43EBD7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11F16"/>
    <w:multiLevelType w:val="hybridMultilevel"/>
    <w:tmpl w:val="9F46DA12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B29BA6">
      <w:numFmt w:val="bullet"/>
      <w:lvlText w:val="-"/>
      <w:lvlJc w:val="left"/>
      <w:pPr>
        <w:ind w:left="1510" w:hanging="43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055A"/>
    <w:multiLevelType w:val="hybridMultilevel"/>
    <w:tmpl w:val="F0A482DC"/>
    <w:lvl w:ilvl="0" w:tplc="DC1A7D1A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9"/>
  </w:num>
  <w:num w:numId="5">
    <w:abstractNumId w:val="13"/>
  </w:num>
  <w:num w:numId="6">
    <w:abstractNumId w:val="8"/>
  </w:num>
  <w:num w:numId="7">
    <w:abstractNumId w:val="7"/>
  </w:num>
  <w:num w:numId="8">
    <w:abstractNumId w:val="26"/>
  </w:num>
  <w:num w:numId="9">
    <w:abstractNumId w:val="18"/>
  </w:num>
  <w:num w:numId="10">
    <w:abstractNumId w:val="12"/>
  </w:num>
  <w:num w:numId="11">
    <w:abstractNumId w:val="2"/>
  </w:num>
  <w:num w:numId="12">
    <w:abstractNumId w:val="20"/>
  </w:num>
  <w:num w:numId="13">
    <w:abstractNumId w:val="14"/>
  </w:num>
  <w:num w:numId="14">
    <w:abstractNumId w:val="15"/>
  </w:num>
  <w:num w:numId="15">
    <w:abstractNumId w:val="4"/>
  </w:num>
  <w:num w:numId="16">
    <w:abstractNumId w:val="21"/>
  </w:num>
  <w:num w:numId="17">
    <w:abstractNumId w:val="10"/>
  </w:num>
  <w:num w:numId="18">
    <w:abstractNumId w:val="22"/>
  </w:num>
  <w:num w:numId="19">
    <w:abstractNumId w:val="17"/>
  </w:num>
  <w:num w:numId="20">
    <w:abstractNumId w:val="28"/>
  </w:num>
  <w:num w:numId="21">
    <w:abstractNumId w:val="6"/>
  </w:num>
  <w:num w:numId="22">
    <w:abstractNumId w:val="23"/>
  </w:num>
  <w:num w:numId="23">
    <w:abstractNumId w:val="16"/>
  </w:num>
  <w:num w:numId="24">
    <w:abstractNumId w:val="27"/>
  </w:num>
  <w:num w:numId="25">
    <w:abstractNumId w:val="24"/>
  </w:num>
  <w:num w:numId="26">
    <w:abstractNumId w:val="25"/>
  </w:num>
  <w:num w:numId="27">
    <w:abstractNumId w:val="19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1"/>
    <w:rsid w:val="00015087"/>
    <w:rsid w:val="00015B7F"/>
    <w:rsid w:val="00031D71"/>
    <w:rsid w:val="00031EA4"/>
    <w:rsid w:val="00045483"/>
    <w:rsid w:val="0007638B"/>
    <w:rsid w:val="00081B4A"/>
    <w:rsid w:val="00092005"/>
    <w:rsid w:val="00092863"/>
    <w:rsid w:val="00093C8B"/>
    <w:rsid w:val="00096239"/>
    <w:rsid w:val="00097B07"/>
    <w:rsid w:val="000A58A2"/>
    <w:rsid w:val="000A699C"/>
    <w:rsid w:val="000B51BC"/>
    <w:rsid w:val="000C20C2"/>
    <w:rsid w:val="000C4D01"/>
    <w:rsid w:val="000E4E32"/>
    <w:rsid w:val="000F378B"/>
    <w:rsid w:val="00107EF0"/>
    <w:rsid w:val="001256A7"/>
    <w:rsid w:val="00153311"/>
    <w:rsid w:val="00187059"/>
    <w:rsid w:val="001A586E"/>
    <w:rsid w:val="001B5DA9"/>
    <w:rsid w:val="00212DF8"/>
    <w:rsid w:val="00216CFD"/>
    <w:rsid w:val="0022052E"/>
    <w:rsid w:val="002234D0"/>
    <w:rsid w:val="00223D80"/>
    <w:rsid w:val="00226D71"/>
    <w:rsid w:val="00230FAF"/>
    <w:rsid w:val="002A3C33"/>
    <w:rsid w:val="002C0EE4"/>
    <w:rsid w:val="002C5A17"/>
    <w:rsid w:val="002D1E82"/>
    <w:rsid w:val="002F0C69"/>
    <w:rsid w:val="0031672A"/>
    <w:rsid w:val="00316B11"/>
    <w:rsid w:val="003232CA"/>
    <w:rsid w:val="00335778"/>
    <w:rsid w:val="00342F6F"/>
    <w:rsid w:val="00347A81"/>
    <w:rsid w:val="003706BC"/>
    <w:rsid w:val="00383B3C"/>
    <w:rsid w:val="003A2DCB"/>
    <w:rsid w:val="003B0B99"/>
    <w:rsid w:val="003B42BC"/>
    <w:rsid w:val="003C5844"/>
    <w:rsid w:val="003F050B"/>
    <w:rsid w:val="003F11B9"/>
    <w:rsid w:val="003F7111"/>
    <w:rsid w:val="00403316"/>
    <w:rsid w:val="0041748E"/>
    <w:rsid w:val="0042026B"/>
    <w:rsid w:val="00442EA1"/>
    <w:rsid w:val="00450A5D"/>
    <w:rsid w:val="00476DAA"/>
    <w:rsid w:val="004801A5"/>
    <w:rsid w:val="0048784E"/>
    <w:rsid w:val="004D1581"/>
    <w:rsid w:val="004D1D1B"/>
    <w:rsid w:val="004D5E21"/>
    <w:rsid w:val="004E43A9"/>
    <w:rsid w:val="004E523D"/>
    <w:rsid w:val="004E76DE"/>
    <w:rsid w:val="00505669"/>
    <w:rsid w:val="00537EB7"/>
    <w:rsid w:val="0055434C"/>
    <w:rsid w:val="00563E33"/>
    <w:rsid w:val="005646C1"/>
    <w:rsid w:val="00567762"/>
    <w:rsid w:val="005766CE"/>
    <w:rsid w:val="005A1258"/>
    <w:rsid w:val="005A20DC"/>
    <w:rsid w:val="005B2454"/>
    <w:rsid w:val="005D3287"/>
    <w:rsid w:val="005F3488"/>
    <w:rsid w:val="0061085D"/>
    <w:rsid w:val="0062070D"/>
    <w:rsid w:val="00625E0C"/>
    <w:rsid w:val="0064550E"/>
    <w:rsid w:val="006830A6"/>
    <w:rsid w:val="006A7050"/>
    <w:rsid w:val="006B0E74"/>
    <w:rsid w:val="006B596A"/>
    <w:rsid w:val="006D0B90"/>
    <w:rsid w:val="006E3563"/>
    <w:rsid w:val="00715CFD"/>
    <w:rsid w:val="00716554"/>
    <w:rsid w:val="00716A58"/>
    <w:rsid w:val="00741471"/>
    <w:rsid w:val="00746403"/>
    <w:rsid w:val="00746D8A"/>
    <w:rsid w:val="00760C11"/>
    <w:rsid w:val="007669FB"/>
    <w:rsid w:val="00784CFB"/>
    <w:rsid w:val="00784F8D"/>
    <w:rsid w:val="007C6E84"/>
    <w:rsid w:val="007D4034"/>
    <w:rsid w:val="007D7C71"/>
    <w:rsid w:val="007F216F"/>
    <w:rsid w:val="007F4DB4"/>
    <w:rsid w:val="0080561C"/>
    <w:rsid w:val="008154D9"/>
    <w:rsid w:val="00827B27"/>
    <w:rsid w:val="00855C6A"/>
    <w:rsid w:val="00881B0A"/>
    <w:rsid w:val="008864A6"/>
    <w:rsid w:val="0089531D"/>
    <w:rsid w:val="008A10CB"/>
    <w:rsid w:val="008A530C"/>
    <w:rsid w:val="008D3DE8"/>
    <w:rsid w:val="008D511A"/>
    <w:rsid w:val="008D5C7B"/>
    <w:rsid w:val="008E06B4"/>
    <w:rsid w:val="008E27C9"/>
    <w:rsid w:val="00906DF0"/>
    <w:rsid w:val="00911D2B"/>
    <w:rsid w:val="0091783A"/>
    <w:rsid w:val="0092730F"/>
    <w:rsid w:val="00931600"/>
    <w:rsid w:val="00940151"/>
    <w:rsid w:val="00944424"/>
    <w:rsid w:val="00950998"/>
    <w:rsid w:val="00966D0A"/>
    <w:rsid w:val="00973370"/>
    <w:rsid w:val="009D0AC8"/>
    <w:rsid w:val="009D6B24"/>
    <w:rsid w:val="009E3D8F"/>
    <w:rsid w:val="009E4303"/>
    <w:rsid w:val="009F48DC"/>
    <w:rsid w:val="00A25648"/>
    <w:rsid w:val="00A3137A"/>
    <w:rsid w:val="00A3385D"/>
    <w:rsid w:val="00A372D8"/>
    <w:rsid w:val="00A44202"/>
    <w:rsid w:val="00A44BA4"/>
    <w:rsid w:val="00A71780"/>
    <w:rsid w:val="00AA26CE"/>
    <w:rsid w:val="00AB294B"/>
    <w:rsid w:val="00AB2CDC"/>
    <w:rsid w:val="00AB55FF"/>
    <w:rsid w:val="00AC0100"/>
    <w:rsid w:val="00AC0845"/>
    <w:rsid w:val="00AD04A7"/>
    <w:rsid w:val="00AF3978"/>
    <w:rsid w:val="00B02782"/>
    <w:rsid w:val="00B1662A"/>
    <w:rsid w:val="00B51B93"/>
    <w:rsid w:val="00B53EC7"/>
    <w:rsid w:val="00B62B33"/>
    <w:rsid w:val="00B760EE"/>
    <w:rsid w:val="00B84A1B"/>
    <w:rsid w:val="00B9124C"/>
    <w:rsid w:val="00BB583A"/>
    <w:rsid w:val="00BC3552"/>
    <w:rsid w:val="00BC44B0"/>
    <w:rsid w:val="00BD65E5"/>
    <w:rsid w:val="00BF16C7"/>
    <w:rsid w:val="00C6191B"/>
    <w:rsid w:val="00C6607F"/>
    <w:rsid w:val="00C77646"/>
    <w:rsid w:val="00C948CD"/>
    <w:rsid w:val="00C96E2B"/>
    <w:rsid w:val="00CA506C"/>
    <w:rsid w:val="00CB6F40"/>
    <w:rsid w:val="00CE3C81"/>
    <w:rsid w:val="00CF52A0"/>
    <w:rsid w:val="00CF5699"/>
    <w:rsid w:val="00D0459E"/>
    <w:rsid w:val="00D06284"/>
    <w:rsid w:val="00D104F3"/>
    <w:rsid w:val="00D26950"/>
    <w:rsid w:val="00D34603"/>
    <w:rsid w:val="00D66BBC"/>
    <w:rsid w:val="00D67A4A"/>
    <w:rsid w:val="00D70F54"/>
    <w:rsid w:val="00D77463"/>
    <w:rsid w:val="00D83EA3"/>
    <w:rsid w:val="00DA34D0"/>
    <w:rsid w:val="00DA7D67"/>
    <w:rsid w:val="00DB04C5"/>
    <w:rsid w:val="00DB16A9"/>
    <w:rsid w:val="00DB4B63"/>
    <w:rsid w:val="00DD3A3E"/>
    <w:rsid w:val="00E3396B"/>
    <w:rsid w:val="00E37DF3"/>
    <w:rsid w:val="00E52581"/>
    <w:rsid w:val="00E94BD5"/>
    <w:rsid w:val="00EA1B41"/>
    <w:rsid w:val="00EB63C9"/>
    <w:rsid w:val="00EC34BF"/>
    <w:rsid w:val="00EE7D5B"/>
    <w:rsid w:val="00EF5DBC"/>
    <w:rsid w:val="00F1159C"/>
    <w:rsid w:val="00F16BA2"/>
    <w:rsid w:val="00F352A0"/>
    <w:rsid w:val="00F35462"/>
    <w:rsid w:val="00F47862"/>
    <w:rsid w:val="00F50FA7"/>
    <w:rsid w:val="00F553C1"/>
    <w:rsid w:val="00F6782A"/>
    <w:rsid w:val="00F80A93"/>
    <w:rsid w:val="00F966F8"/>
    <w:rsid w:val="00FA0DBB"/>
    <w:rsid w:val="00FA2C07"/>
    <w:rsid w:val="00FA2D21"/>
    <w:rsid w:val="00FA5FB3"/>
    <w:rsid w:val="00FA7F13"/>
    <w:rsid w:val="00FC12B9"/>
    <w:rsid w:val="00FD48D2"/>
    <w:rsid w:val="00FD4A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4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42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6BC"/>
  </w:style>
  <w:style w:type="paragraph" w:styleId="Fuzeile">
    <w:name w:val="footer"/>
    <w:basedOn w:val="Standard"/>
    <w:link w:val="Fu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6BC"/>
  </w:style>
  <w:style w:type="table" w:styleId="Tabellenraster">
    <w:name w:val="Table Grid"/>
    <w:basedOn w:val="NormaleTabelle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4A1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11D2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11D2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6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6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66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6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66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B3C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3B42B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B4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2" ma:contentTypeDescription="Opprett et nytt dokument." ma:contentTypeScope="" ma:versionID="2b6288ca64a496d76136b5e6fa0b9934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84b24899c485e3797b89a75610570b2b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890EB-7629-4F18-98D6-EE293FCCB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DCE04-D43F-41EF-9BDB-F0CEBD74A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0B876-0E53-43F8-B590-5F3052142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3778</Characters>
  <Application>Microsoft Office Word</Application>
  <DocSecurity>0</DocSecurity>
  <Lines>31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wbrim</cp:lastModifiedBy>
  <cp:revision>7</cp:revision>
  <cp:lastPrinted>2021-06-18T10:29:00Z</cp:lastPrinted>
  <dcterms:created xsi:type="dcterms:W3CDTF">2022-02-17T15:11:00Z</dcterms:created>
  <dcterms:modified xsi:type="dcterms:W3CDTF">2022-12-12T12:41:00Z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