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1B10" w:rsidR="006E3563" w:rsidRDefault="006E3563" w14:paraId="79CE9598" w14:textId="26876088">
      <w:pPr>
        <w:rPr>
          <w:rFonts w:cstheme="minorHAnsi"/>
          <w:sz w:val="20"/>
          <w:szCs w:val="20"/>
          <w:lang w:val="lt-LT"/>
        </w:rPr>
      </w:pPr>
    </w:p>
    <w:p w:rsidRPr="00F71B10" w:rsidR="003706BC" w:rsidP="00B84A1B" w:rsidRDefault="003706BC" w14:paraId="65F7BD56" w14:textId="065137F3">
      <w:pPr>
        <w:jc w:val="both"/>
        <w:rPr>
          <w:rFonts w:cstheme="minorHAnsi"/>
          <w:color w:val="464749"/>
          <w:sz w:val="20"/>
          <w:szCs w:val="20"/>
          <w:shd w:val="clear" w:color="auto" w:fill="FFFFFF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F71B10" w:rsidR="00B84A1B" w:rsidTr="2F199E06" w14:paraId="36EB9FE3" w14:textId="77777777">
        <w:tc>
          <w:tcPr>
            <w:tcW w:w="9062" w:type="dxa"/>
            <w:gridSpan w:val="2"/>
            <w:shd w:val="clear" w:color="auto" w:fill="FFFFFF" w:themeFill="background1"/>
            <w:tcMar/>
          </w:tcPr>
          <w:p w:rsidR="00C76851" w:rsidP="1DD88DD7" w:rsidRDefault="00C76851" w14:paraId="7087EDE8" w14:textId="3D9F1511">
            <w:pPr>
              <w:jc w:val="center"/>
              <w:rPr>
                <w:rFonts w:cs="Calibri" w:cstheme="minorAsci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1DD88DD7" w:rsidR="00C76851">
              <w:rPr>
                <w:rFonts w:cs="Calibri" w:cstheme="minorAsci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Projekto “</w:t>
            </w:r>
            <w:r w:rsidRPr="1DD88DD7" w:rsidR="1DAF3755">
              <w:rPr>
                <w:rFonts w:cs="Calibri" w:cstheme="minorAsci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Inkliuzinis </w:t>
            </w:r>
            <w:r w:rsidRPr="1DD88DD7" w:rsidR="622BB533">
              <w:rPr>
                <w:rFonts w:cs="Calibri" w:cstheme="minorAsci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mokymas</w:t>
            </w:r>
            <w:r w:rsidRPr="1DD88DD7" w:rsidR="00C76851">
              <w:rPr>
                <w:rFonts w:cs="Calibri" w:cstheme="minorAsci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 mokymų programa</w:t>
            </w:r>
            <w:r w:rsidRPr="1DD88DD7" w:rsidR="001E2454">
              <w:rPr>
                <w:rFonts w:cs="Calibri" w:cstheme="minorAsci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Pr="00F71B10" w:rsidR="001E2454" w:rsidP="00B84A1B" w:rsidRDefault="001E2454" w14:paraId="6C1C7E4C" w14:textId="6F57778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Socialiniai iššūkiai</w:t>
            </w:r>
          </w:p>
          <w:p w:rsidRPr="00F71B10" w:rsidR="00B84A1B" w:rsidP="00C76851" w:rsidRDefault="00B84A1B" w14:paraId="0288031A" w14:textId="77777777">
            <w:pPr>
              <w:jc w:val="center"/>
              <w:rPr>
                <w:rFonts w:cstheme="minorHAnsi"/>
                <w:color w:val="FFC000"/>
                <w:sz w:val="20"/>
                <w:szCs w:val="20"/>
                <w:shd w:val="clear" w:color="auto" w:fill="FFFFFF"/>
                <w:lang w:val="lt-LT"/>
              </w:rPr>
            </w:pPr>
          </w:p>
        </w:tc>
      </w:tr>
      <w:tr w:rsidRPr="00F71B10" w:rsidR="00B84A1B" w:rsidTr="2F199E06" w14:paraId="5B63781D" w14:textId="77777777">
        <w:tc>
          <w:tcPr>
            <w:tcW w:w="4531" w:type="dxa"/>
            <w:tcMar/>
          </w:tcPr>
          <w:p w:rsidRPr="00F71B10" w:rsidR="00B84A1B" w:rsidP="6AB08475" w:rsidRDefault="00D74175" w14:paraId="08619E17" w14:textId="02A5AAC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</w:pPr>
            <w:r w:rsidRPr="6AB08475" w:rsidR="5DBF42DD"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  <w:t xml:space="preserve">Temos iššūkiai</w:t>
            </w:r>
          </w:p>
        </w:tc>
        <w:tc>
          <w:tcPr>
            <w:tcW w:w="4531" w:type="dxa"/>
            <w:tcMar/>
          </w:tcPr>
          <w:p w:rsidRPr="00F71B10" w:rsidR="008E06B4" w:rsidP="2F199E06" w:rsidRDefault="0057653D" w14:paraId="23FA7B93" w14:textId="3AE5CB42">
            <w:p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2F199E06" w:rsidR="0057653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18–25 metų</w:t>
            </w:r>
            <w:r w:rsidRPr="2F199E06" w:rsidR="00506E1E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jauni žmonės </w:t>
            </w:r>
            <w:r w:rsidRPr="2F199E06" w:rsidR="0057653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kasdien susiduria su</w:t>
            </w:r>
            <w:r w:rsidRPr="2F199E06" w:rsidR="00DC45C6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2F199E06" w:rsidR="0057653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socialiniais </w:t>
            </w:r>
            <w:r w:rsidRPr="2F199E06" w:rsidR="00DC45C6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iššūkiais</w:t>
            </w:r>
            <w:r w:rsidRPr="2F199E06" w:rsidR="006B50C9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: </w:t>
            </w:r>
            <w:r w:rsidRPr="2F199E06" w:rsidR="00F64A31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asmenybės brendimo laikotarpiu kyla daug vidinių prieštaravimų</w:t>
            </w:r>
            <w:r w:rsidRPr="2F199E06" w:rsidR="00CE216E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ir reikalavimų sau</w:t>
            </w:r>
            <w:r w:rsidRPr="2F199E06" w:rsidR="00F64A31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, taip pat prisideda išorinės priežastys (</w:t>
            </w:r>
            <w:r w:rsidRPr="2F199E06" w:rsidR="225B7EE1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sociokultūrinė</w:t>
            </w:r>
            <w:r w:rsidRPr="2F199E06" w:rsidR="009B74A8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aplinka, vaikystės, paauglystės patirtys</w:t>
            </w:r>
            <w:r w:rsidRPr="2F199E06" w:rsidR="005D1014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</w:t>
            </w:r>
            <w:r w:rsidRPr="2F199E06" w:rsidR="00222FA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bendraamžių įtaka, savo vietos darbo rinkoje paieškos</w:t>
            </w:r>
            <w:r w:rsidRPr="2F199E06" w:rsidR="00CE216E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ir kt.</w:t>
            </w:r>
            <w:r w:rsidRPr="2F199E06" w:rsidR="009B74A8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).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Nemažai jaunų žmonių jaučiasi nesuprasti, vieniši, todėl arti esančio pedagogo įtaka gali būti didelė, ir pedagoga</w:t>
            </w:r>
            <w:r w:rsidRPr="2F199E06" w:rsidR="00F71B1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gali tapti </w:t>
            </w:r>
            <w:r w:rsidRPr="2F199E06" w:rsidR="54E3EDD6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asmeniu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pastebi</w:t>
            </w:r>
            <w:r w:rsidRPr="2F199E06" w:rsidR="0DF6EC2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nčiu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problemas </w:t>
            </w:r>
            <w:r w:rsidRPr="2F199E06" w:rsidR="6CFC667E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nuo pat 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pradži</w:t>
            </w:r>
            <w:r w:rsidRPr="2F199E06" w:rsidR="772CD634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ų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</w:t>
            </w:r>
            <w:r w:rsidRPr="2F199E06" w:rsidR="0E6F1DB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gebėdamas 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identifikuoti ir užkirs</w:t>
            </w:r>
            <w:r w:rsidRPr="2F199E06" w:rsidR="00F71B1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t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i</w:t>
            </w:r>
            <w:r w:rsidRPr="2F199E06" w:rsidR="0285CF78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joms</w:t>
            </w:r>
            <w:r w:rsidRPr="2F199E06" w:rsidR="0031558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kelią. </w:t>
            </w:r>
            <w:r w:rsidRPr="2F199E0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Socialinių iššūkių atpažinimas ir problem</w:t>
            </w:r>
            <w:r w:rsidRPr="2F199E06" w:rsidR="00F71B1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ų</w:t>
            </w:r>
            <w:r w:rsidRPr="2F199E0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sprendimas – vienas svarbiau</w:t>
            </w:r>
            <w:r w:rsidRPr="2F199E06" w:rsidR="00F71B1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</w:t>
            </w:r>
            <w:r w:rsidRPr="2F199E0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ių jauno žmogaus įgūdžių, kuri</w:t>
            </w:r>
            <w:r w:rsidRPr="2F199E06" w:rsidR="486E6EC6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ų</w:t>
            </w:r>
            <w:r w:rsidRPr="2F199E0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mokyti ir formuoti gali ir pedagogas. </w:t>
            </w:r>
          </w:p>
        </w:tc>
      </w:tr>
      <w:tr w:rsidRPr="00F71B10" w:rsidR="00B84A1B" w:rsidTr="2F199E06" w14:paraId="0CEC9B86" w14:textId="77777777">
        <w:tc>
          <w:tcPr>
            <w:tcW w:w="4531" w:type="dxa"/>
            <w:tcMar/>
          </w:tcPr>
          <w:p w:rsidRPr="00F71B10" w:rsidR="00B84A1B" w:rsidP="1C1FF670" w:rsidRDefault="006C04FF" w14:paraId="1203D5D7" w14:textId="1C3AFF2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</w:pPr>
            <w:r w:rsidRPr="1C1FF670" w:rsidR="006C04FF"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  <w:t xml:space="preserve">Tikslai</w:t>
            </w:r>
          </w:p>
        </w:tc>
        <w:tc>
          <w:tcPr>
            <w:tcW w:w="4531" w:type="dxa"/>
            <w:tcMar/>
          </w:tcPr>
          <w:p w:rsidRPr="00F71B10" w:rsidR="0057653D" w:rsidP="00F827A9" w:rsidRDefault="00F827A9" w14:paraId="70A7915B" w14:textId="214200C9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Pedagogų įgūdžių lavinimas: </w:t>
            </w:r>
          </w:p>
          <w:p w:rsidRPr="00F71B10" w:rsidR="0057653D" w:rsidP="0057653D" w:rsidRDefault="0057653D" w14:paraId="67803536" w14:textId="388FCC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Suprasti besimokančiųjų</w:t>
            </w:r>
            <w:r w:rsidRPr="00F71B10" w:rsidR="00432A21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mokymo poreikius. </w:t>
            </w:r>
          </w:p>
          <w:p w:rsidRPr="00F71B10" w:rsidR="0057653D" w:rsidP="0057653D" w:rsidRDefault="0057653D" w14:paraId="3C863AD9" w14:textId="6DA8B58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Įgyti žinių apie mokymo metod</w:t>
            </w:r>
            <w:r w:rsidRPr="00F71B10" w:rsidR="00C37AF6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us padedančius identifikuoti besimokančiųjų socialinius iššūkius. </w:t>
            </w:r>
          </w:p>
          <w:p w:rsidRPr="00F71B10" w:rsidR="00E645C8" w:rsidP="0057653D" w:rsidRDefault="00C37AF6" w14:paraId="3F27E83F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Gebėti 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kurti savo būsimų </w:t>
            </w:r>
            <w:r w:rsidRPr="00F71B10" w:rsidR="00E645C8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užsiėmimų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turinio metmenis pagal besimokančiųjų reikalavimus. </w:t>
            </w:r>
          </w:p>
          <w:p w:rsidRPr="00F71B10" w:rsidR="0057653D" w:rsidP="2C042136" w:rsidRDefault="00400505" w14:paraId="048C75B2" w14:textId="6D12B64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2C04213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Gebės formuoti besimokančiųjų problem</w:t>
            </w:r>
            <w:r w:rsidRPr="2C042136" w:rsidR="00F71B1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ų</w:t>
            </w:r>
            <w:r w:rsidRPr="2C04213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spren</w:t>
            </w:r>
            <w:r w:rsidRPr="2C042136" w:rsidR="00F71B1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d</w:t>
            </w:r>
            <w:r w:rsidRPr="2C04213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imų įgūdžius, kaip vieną svarbiausių</w:t>
            </w:r>
            <w:r w:rsidRPr="2C042136" w:rsidR="000E3B1F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jauno žmogaus </w:t>
            </w:r>
            <w:r w:rsidRPr="2C042136" w:rsidR="00B77A6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integracijos į vi</w:t>
            </w:r>
            <w:r w:rsidRPr="2C042136" w:rsidR="473682E8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s</w:t>
            </w:r>
            <w:r w:rsidRPr="2C042136" w:rsidR="00B77A6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uomenę įgūdį. </w:t>
            </w:r>
            <w:r w:rsidRPr="2C042136" w:rsidR="0040050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</w:p>
          <w:p w:rsidRPr="00F71B10" w:rsidR="006A7050" w:rsidP="0057653D" w:rsidRDefault="00B77A6C" w14:paraId="382F62C3" w14:textId="4B1C84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Gebės </w:t>
            </w:r>
            <w:r w:rsidR="007F4A81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panaudoti į(si)vertinimo ir </w:t>
            </w:r>
            <w:r w:rsidR="001B35F9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grupės bei individualios </w:t>
            </w:r>
            <w:r w:rsidR="007F4A81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pažangos matavimo metodus</w:t>
            </w:r>
            <w:r w:rsidR="001B35F9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. </w:t>
            </w:r>
          </w:p>
        </w:tc>
      </w:tr>
      <w:tr w:rsidRPr="00F71B10" w:rsidR="00B84A1B" w:rsidTr="2F199E06" w14:paraId="05DACC92" w14:textId="77777777">
        <w:tc>
          <w:tcPr>
            <w:tcW w:w="4531" w:type="dxa"/>
            <w:tcMar/>
          </w:tcPr>
          <w:p w:rsidRPr="00D11E21" w:rsidR="00741471" w:rsidP="1C1FF670" w:rsidRDefault="00D11E21" w14:paraId="6C171E7F" w14:textId="02688B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</w:pPr>
            <w:r w:rsidRPr="1C1FF670" w:rsidR="00D11E21"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  <w:t>Turinys</w:t>
            </w:r>
          </w:p>
        </w:tc>
        <w:tc>
          <w:tcPr>
            <w:tcW w:w="4531" w:type="dxa"/>
            <w:tcMar/>
          </w:tcPr>
          <w:p w:rsidR="002561C0" w:rsidP="007D204F" w:rsidRDefault="007D204F" w14:paraId="104774FE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Mokymų dalyviai susipažins su tarptautinę patirtimi paremtų metodikų ir praktikų</w:t>
            </w:r>
            <w:r w:rsidR="002561C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paketu, padedančių jaunimui susidoroti su socialiniais iššūkiais.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</w:p>
          <w:p w:rsidRPr="007D204F" w:rsidR="0057653D" w:rsidP="1CA4260D" w:rsidRDefault="002561C0" w14:paraId="1152E934" w14:textId="584C0CD9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1CA4260D" w:rsidR="002561C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Susipažins ir mokysis socialinių įgūdžių formavimo i</w:t>
            </w:r>
            <w:r w:rsidRPr="1CA4260D" w:rsidR="00E7608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r </w:t>
            </w:r>
            <w:r w:rsidRPr="1CA4260D" w:rsidR="002561C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problemų sprendimo</w:t>
            </w:r>
            <w:r w:rsidRPr="1CA4260D" w:rsidR="00E7608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1CA4260D" w:rsidR="24F3B5A5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7</w:t>
            </w:r>
            <w:r w:rsidRPr="1CA4260D" w:rsidR="00E7608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žingsnių </w:t>
            </w:r>
            <w:r w:rsidRPr="1CA4260D" w:rsidR="002561C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program</w:t>
            </w:r>
            <w:r w:rsidRPr="1CA4260D" w:rsidR="00E7608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a: </w:t>
            </w:r>
          </w:p>
          <w:p w:rsidRPr="00F71B10" w:rsidR="0057653D" w:rsidP="0057653D" w:rsidRDefault="0057653D" w14:paraId="34C91907" w14:textId="64C719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Ankstyvas </w:t>
            </w:r>
            <w:r w:rsidR="00FB4783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problemos </w:t>
            </w: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identifikavimas</w:t>
            </w:r>
          </w:p>
          <w:p w:rsidRPr="00F71B10" w:rsidR="0057653D" w:rsidP="0057653D" w:rsidRDefault="0057653D" w14:paraId="21D1F0AB" w14:textId="39F9425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P</w:t>
            </w:r>
            <w:r w:rsidR="00FB4783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roblemos</w:t>
            </w: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supratimas</w:t>
            </w:r>
          </w:p>
          <w:p w:rsidRPr="00F71B10" w:rsidR="0057653D" w:rsidP="3B33AB1F" w:rsidRDefault="0057653D" w14:paraId="0E0AA2C5" w14:textId="5DAC2538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3B33AB1F" w:rsidR="0057653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Žinių </w:t>
            </w:r>
            <w:r w:rsidRPr="3B33AB1F" w:rsidR="00FB4783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ir įgūdžių problemos sprendimui </w:t>
            </w:r>
            <w:r w:rsidRPr="3B33AB1F" w:rsidR="00FB4783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pritaikymas</w:t>
            </w:r>
          </w:p>
          <w:p w:rsidRPr="000374C9" w:rsidR="00E7608D" w:rsidP="3B33AB1F" w:rsidRDefault="0057653D" w14:paraId="60F0F762" w14:textId="24D0F5A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3B33AB1F" w:rsidR="0057653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Pagarb</w:t>
            </w:r>
            <w:r w:rsidRPr="3B33AB1F" w:rsidR="1E19C2C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os svarba sau ir aplinkai</w:t>
            </w:r>
          </w:p>
          <w:p w:rsidRPr="00E7608D" w:rsidR="0057653D" w:rsidP="1CA4260D" w:rsidRDefault="0057653D" w14:paraId="7DD0E784" w14:textId="62BDDD5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1CA4260D" w:rsidR="0057653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</w:t>
            </w:r>
            <w:r w:rsidRPr="1CA4260D" w:rsidR="30C953D6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prendimų ieškojimas</w:t>
            </w:r>
          </w:p>
          <w:p w:rsidRPr="00F71B10" w:rsidR="0057653D" w:rsidP="0057653D" w:rsidRDefault="0057653D" w14:paraId="524EA9F0" w14:textId="65725A9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Pasitikėjimas ir priėmimas</w:t>
            </w:r>
          </w:p>
          <w:p w:rsidRPr="00F71B10" w:rsidR="00AD04A7" w:rsidP="0057653D" w:rsidRDefault="0057653D" w14:paraId="4DF9DE87" w14:textId="2EDA471D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Bendravimas ir saugi erdvė</w:t>
            </w:r>
          </w:p>
        </w:tc>
      </w:tr>
      <w:tr w:rsidRPr="00F71B10" w:rsidR="00B84A1B" w:rsidTr="2F199E06" w14:paraId="001361DF" w14:textId="77777777">
        <w:tc>
          <w:tcPr>
            <w:tcW w:w="4531" w:type="dxa"/>
            <w:tcMar/>
          </w:tcPr>
          <w:p w:rsidRPr="00F71B10" w:rsidR="00B84A1B" w:rsidP="1C1FF670" w:rsidRDefault="000374C9" w14:paraId="35E6A341" w14:textId="0D7CA8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</w:pPr>
            <w:r w:rsidRPr="1C1FF670" w:rsidR="000374C9"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  <w:t xml:space="preserve">Metodai</w:t>
            </w:r>
          </w:p>
        </w:tc>
        <w:tc>
          <w:tcPr>
            <w:tcW w:w="4531" w:type="dxa"/>
            <w:tcMar/>
          </w:tcPr>
          <w:p w:rsidRPr="00F71B10" w:rsidR="0057653D" w:rsidP="0057653D" w:rsidRDefault="000374C9" w14:paraId="01282AAF" w14:textId="79F0286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Minčių lietus</w:t>
            </w:r>
            <w:r w:rsidR="0014051B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. </w:t>
            </w:r>
          </w:p>
          <w:p w:rsidR="00116478" w:rsidP="0057653D" w:rsidRDefault="00116478" w14:paraId="0A7C55C8" w14:textId="2C6A591B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Dalinimasis</w:t>
            </w:r>
            <w:r w:rsidR="0014051B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patirtimi. </w:t>
            </w:r>
          </w:p>
          <w:p w:rsidRPr="00F71B10" w:rsidR="0057653D" w:rsidP="0057653D" w:rsidRDefault="0057653D" w14:paraId="22DAEF32" w14:textId="3CFA4E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lastRenderedPageBreak/>
              <w:t>Grupinė</w:t>
            </w:r>
            <w:r w:rsidR="0014051B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diskusija. </w:t>
            </w:r>
          </w:p>
          <w:p w:rsidRPr="00604E28" w:rsidR="0089531D" w:rsidP="00604E28" w:rsidRDefault="00604E28" w14:paraId="05C5387C" w14:textId="78F441C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Situacijų inscenizavimas (žaidimas vaidmenimis). </w:t>
            </w:r>
          </w:p>
          <w:p w:rsidRPr="00F71B10" w:rsidR="0057653D" w:rsidP="0057653D" w:rsidRDefault="00604E28" w14:paraId="6C11C083" w14:textId="486C7F3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P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askaitos</w:t>
            </w:r>
            <w:r w:rsidR="00D543F5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. </w:t>
            </w:r>
          </w:p>
        </w:tc>
      </w:tr>
      <w:tr w:rsidRPr="00F71B10" w:rsidR="00B84A1B" w:rsidTr="2F199E06" w14:paraId="1C921A6D" w14:textId="77777777">
        <w:tc>
          <w:tcPr>
            <w:tcW w:w="4531" w:type="dxa"/>
            <w:tcMar/>
          </w:tcPr>
          <w:p w:rsidRPr="00F71B10" w:rsidR="00B84A1B" w:rsidP="00741471" w:rsidRDefault="00F45219" w14:paraId="029E5A4B" w14:textId="6036E2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lt-LT"/>
              </w:rPr>
              <w:lastRenderedPageBreak/>
              <w:t>Trukmė</w:t>
            </w:r>
          </w:p>
        </w:tc>
        <w:tc>
          <w:tcPr>
            <w:tcW w:w="4531" w:type="dxa"/>
            <w:tcMar/>
          </w:tcPr>
          <w:p w:rsidRPr="00F71B10" w:rsidR="0092730F" w:rsidP="00AF3978" w:rsidRDefault="00F47862" w14:paraId="0FFA9E28" w14:textId="52E430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15 </w:t>
            </w:r>
            <w:r w:rsidR="00A93874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akademinių valandų. </w:t>
            </w:r>
          </w:p>
        </w:tc>
      </w:tr>
      <w:tr w:rsidRPr="00F71B10" w:rsidR="00B84A1B" w:rsidTr="2F199E06" w14:paraId="73CBA635" w14:textId="77777777">
        <w:tc>
          <w:tcPr>
            <w:tcW w:w="4531" w:type="dxa"/>
            <w:tcMar/>
          </w:tcPr>
          <w:p w:rsidRPr="00F71B10" w:rsidR="00B84A1B" w:rsidP="1A6C0378" w:rsidRDefault="002D6622" w14:paraId="2C0C8A3B" w14:textId="67B66AB5">
            <w:pPr>
              <w:pStyle w:val="ListParagraph"/>
              <w:numPr>
                <w:ilvl w:val="0"/>
                <w:numId w:val="1"/>
              </w:numPr>
              <w:jc w:val="both"/>
              <w:rPr>
                <w:noProof w:val="0"/>
                <w:shd w:val="clear" w:color="auto" w:fill="FFFFFF"/>
                <w:lang w:val="lt-LT"/>
              </w:rPr>
            </w:pPr>
            <w:proofErr w:type="spellStart"/>
            <w:r w:rsidRPr="1A6C0378" w:rsidR="082A1F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Mokymų</w:t>
            </w:r>
            <w:proofErr w:type="spellEnd"/>
            <w:r w:rsidRPr="1A6C0378" w:rsidR="082A1F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forma</w:t>
            </w:r>
          </w:p>
        </w:tc>
        <w:tc>
          <w:tcPr>
            <w:tcW w:w="4531" w:type="dxa"/>
            <w:tcMar/>
          </w:tcPr>
          <w:p w:rsidR="002D6622" w:rsidP="00133AC7" w:rsidRDefault="002D6622" w14:paraId="61C522B0" w14:textId="4DC24D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Teoriniai ir praktiniai mokymai</w:t>
            </w:r>
          </w:p>
          <w:p w:rsidRPr="00133AC7" w:rsidR="00335778" w:rsidP="00133AC7" w:rsidRDefault="00133AC7" w14:paraId="781FB765" w14:textId="5DB8B2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Kontaktiniai ir nuotoliniai mokymai.</w:t>
            </w:r>
          </w:p>
        </w:tc>
      </w:tr>
      <w:tr w:rsidRPr="00F71B10" w:rsidR="00B84A1B" w:rsidTr="2F199E06" w14:paraId="56E7B33B" w14:textId="77777777">
        <w:tc>
          <w:tcPr>
            <w:tcW w:w="4531" w:type="dxa"/>
            <w:tcMar/>
          </w:tcPr>
          <w:p w:rsidRPr="00F71B10" w:rsidR="00B84A1B" w:rsidP="00741471" w:rsidRDefault="007648B5" w14:paraId="66B43DA8" w14:textId="0C7EC3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lt-LT"/>
              </w:rPr>
            </w:pPr>
            <w:r w:rsidRPr="1A6C0378" w:rsidR="007648B5">
              <w:rPr>
                <w:rFonts w:cs="Calibri" w:cstheme="minorAscii"/>
                <w:b w:val="1"/>
                <w:bCs w:val="1"/>
                <w:sz w:val="20"/>
                <w:szCs w:val="20"/>
                <w:lang w:val="lt-LT"/>
              </w:rPr>
              <w:t xml:space="preserve">Priemonės </w:t>
            </w:r>
          </w:p>
        </w:tc>
        <w:tc>
          <w:tcPr>
            <w:tcW w:w="4531" w:type="dxa"/>
            <w:tcMar/>
          </w:tcPr>
          <w:p w:rsidRPr="00133AC7" w:rsidR="001256A7" w:rsidP="00133AC7" w:rsidRDefault="00133AC7" w14:paraId="246C1DA4" w14:textId="485F727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Pateiktys </w:t>
            </w:r>
          </w:p>
          <w:p w:rsidRPr="008A212A" w:rsidR="0020216E" w:rsidP="008A212A" w:rsidRDefault="00133AC7" w14:paraId="04C41836" w14:textId="6F2C718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Situacijų </w:t>
            </w:r>
            <w:r w:rsidR="00B3481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inscenizavimas</w:t>
            </w:r>
            <w:r w:rsidR="00643358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(</w:t>
            </w:r>
            <w:r w:rsidRPr="008A212A" w:rsidR="008A212A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į</w:t>
            </w:r>
            <w:r w:rsidRPr="008A212A" w:rsidR="0020216E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vairių situacijų </w:t>
            </w:r>
            <w:r w:rsidRPr="008A212A" w:rsidR="008A212A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pavyzdžiai</w:t>
            </w:r>
            <w:r w:rsidRPr="008A212A" w:rsidR="0020216E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, apimantys socialinius iššūkius, su kuriais susiduria jaunimas, pavyzdžiui, imigracijos kilmė, žemas šeimos išsilavinimas, tėvų skyrybų patirtis,</w:t>
            </w:r>
            <w:r w:rsidRPr="008A212A" w:rsidR="008A212A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santykiai su bendraamžiais,</w:t>
            </w:r>
            <w:r w:rsidRPr="008A212A" w:rsidR="0020216E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konkurencija ir kt.</w:t>
            </w:r>
            <w:r w:rsidRPr="008A212A" w:rsidR="008A212A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). </w:t>
            </w:r>
          </w:p>
          <w:p w:rsidRPr="00A35D25" w:rsidR="00362084" w:rsidP="6AB08475" w:rsidRDefault="00C6191B" w14:paraId="6FEB0A46" w14:textId="3C4630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6AB08475" w:rsidR="00C6191B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“</w:t>
            </w:r>
            <w:proofErr w:type="spellStart"/>
            <w:r w:rsidRPr="6AB08475" w:rsidR="0056776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Social</w:t>
            </w:r>
            <w:proofErr w:type="spellEnd"/>
            <w:r w:rsidRPr="6AB08475" w:rsidR="0056776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6AB08475" w:rsidR="0056776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Pedagogy</w:t>
            </w:r>
            <w:proofErr w:type="spellEnd"/>
            <w:r w:rsidRPr="6AB08475" w:rsidR="00CF52A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”</w:t>
            </w:r>
            <w:r w:rsidRPr="6AB08475" w:rsidR="00567762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6AB08475" w:rsidR="5CBEA7F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metodika. </w:t>
            </w:r>
          </w:p>
          <w:p w:rsidRPr="00362084" w:rsidR="00362084" w:rsidP="1CA4260D" w:rsidRDefault="00362084" w14:paraId="415C3686" w14:textId="0427B6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1CA4260D" w:rsidR="00362084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Rekomenduojama literatūra: </w:t>
            </w:r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“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Promoting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social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inclusion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in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educational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settings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: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Challenges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and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opportunities</w:t>
            </w:r>
            <w:proofErr w:type="spellEnd"/>
            <w:r w:rsidRPr="1CA4260D" w:rsidR="00906DF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”, </w:t>
            </w:r>
            <w:proofErr w:type="spellStart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Juvonen</w:t>
            </w:r>
            <w:proofErr w:type="spellEnd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J., </w:t>
            </w:r>
            <w:proofErr w:type="spellStart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Lessard</w:t>
            </w:r>
            <w:proofErr w:type="spellEnd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L.M., </w:t>
            </w:r>
            <w:proofErr w:type="spellStart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Rastogi</w:t>
            </w:r>
            <w:proofErr w:type="spellEnd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R., </w:t>
            </w:r>
            <w:proofErr w:type="spellStart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Schacter</w:t>
            </w:r>
            <w:proofErr w:type="spellEnd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H.L., &amp; </w:t>
            </w:r>
            <w:proofErr w:type="spellStart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Smith</w:t>
            </w:r>
            <w:proofErr w:type="spellEnd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, D. S., University </w:t>
            </w:r>
            <w:proofErr w:type="spellStart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of</w:t>
            </w:r>
            <w:proofErr w:type="spellEnd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proofErr w:type="spellStart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California</w:t>
            </w:r>
            <w:proofErr w:type="spellEnd"/>
            <w:r w:rsidRPr="1CA4260D" w:rsidR="009F48DC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, Los Angeles</w:t>
            </w:r>
            <w:r w:rsidRPr="1CA4260D" w:rsidR="00362084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“</w:t>
            </w:r>
            <w:r w:rsidRPr="1CA4260D" w:rsidR="3C111A96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. </w:t>
            </w:r>
          </w:p>
          <w:p w:rsidRPr="00F71B10" w:rsidR="00906DF0" w:rsidP="009F48DC" w:rsidRDefault="00362084" w14:paraId="2BAE405B" w14:textId="7D3DA7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Addressing Social Issues in the Classroom and Beyond: The Pedagogical Efforts of Pioneers in the Field. Research in Curriculum and Instruction”, Totten, Samuel, Ed.; Pedersen, Jon, Ed., IAP - Information Age Publishing, Inc.</w:t>
            </w:r>
          </w:p>
        </w:tc>
      </w:tr>
      <w:tr w:rsidRPr="00F71B10" w:rsidR="00B84A1B" w:rsidTr="2F199E06" w14:paraId="646531EF" w14:textId="77777777">
        <w:tc>
          <w:tcPr>
            <w:tcW w:w="4531" w:type="dxa"/>
            <w:tcMar/>
          </w:tcPr>
          <w:p w:rsidRPr="003A0BEA" w:rsidR="00B84A1B" w:rsidP="1C1FF670" w:rsidRDefault="003A0BEA" w14:paraId="11D3C5EA" w14:textId="4E698BA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</w:pPr>
            <w:r w:rsidRPr="1A6C0378" w:rsidR="003A0BEA"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  <w:t>Vertinim</w:t>
            </w:r>
            <w:r w:rsidRPr="1A6C0378" w:rsidR="420872CA"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  <w:t>as</w:t>
            </w:r>
          </w:p>
        </w:tc>
        <w:tc>
          <w:tcPr>
            <w:tcW w:w="4531" w:type="dxa"/>
            <w:tcMar/>
          </w:tcPr>
          <w:p w:rsidRPr="0095071A" w:rsidR="0057653D" w:rsidP="0095071A" w:rsidRDefault="0057653D" w14:paraId="2CC22C37" w14:textId="7777777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95071A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Mokymų sėkmė bus vertinama pagal pasiekimų rodiklių rinkinį:</w:t>
            </w:r>
          </w:p>
          <w:p w:rsidRPr="00F71B10" w:rsidR="0057653D" w:rsidP="0057653D" w:rsidRDefault="0057653D" w14:paraId="30270ECD" w14:textId="1DBA21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Apmąstymų laikas (tiesiogiai)</w:t>
            </w:r>
          </w:p>
          <w:p w:rsidRPr="00F71B10" w:rsidR="00C6607F" w:rsidP="0057653D" w:rsidRDefault="0057653D" w14:paraId="045C4F91" w14:textId="056335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Vertinimo lapai</w:t>
            </w:r>
          </w:p>
        </w:tc>
      </w:tr>
      <w:tr w:rsidRPr="00F71B10" w:rsidR="00B84A1B" w:rsidTr="2F199E06" w14:paraId="57F886C8" w14:textId="77777777">
        <w:tc>
          <w:tcPr>
            <w:tcW w:w="4531" w:type="dxa"/>
            <w:tcMar/>
          </w:tcPr>
          <w:p w:rsidRPr="00F71B10" w:rsidR="00B84A1B" w:rsidP="1C1FF670" w:rsidRDefault="0095071A" w14:paraId="193989E0" w14:textId="43B465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</w:pPr>
            <w:r w:rsidRPr="1A6C0378" w:rsidR="0095071A"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  <w:t xml:space="preserve">Tikėtini rezultatai</w:t>
            </w:r>
          </w:p>
        </w:tc>
        <w:tc>
          <w:tcPr>
            <w:tcW w:w="4531" w:type="dxa"/>
            <w:tcMar/>
          </w:tcPr>
          <w:p w:rsidRPr="00B73F14" w:rsidR="0057653D" w:rsidP="00B73F14" w:rsidRDefault="0057653D" w14:paraId="6689D650" w14:textId="7777777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B73F14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Baigę mokymus, pedagogai turėtų:</w:t>
            </w:r>
          </w:p>
          <w:p w:rsidRPr="00F71B10" w:rsidR="0057653D" w:rsidP="0057653D" w:rsidRDefault="0057653D" w14:paraId="50EFBA11" w14:textId="1CEF368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s</w:t>
            </w:r>
            <w:r w:rsidR="0095071A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us</w:t>
            </w: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tiprinti savo profesinę patirtį ir gebėjimą nustatyti socialinius iššūkius</w:t>
            </w:r>
            <w:r w:rsidR="00BA14F7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su kuriais susiduria jaunimas; </w:t>
            </w:r>
          </w:p>
          <w:p w:rsidRPr="00F71B10" w:rsidR="0057653D" w:rsidP="0057653D" w:rsidRDefault="006A038A" w14:paraId="17C1F372" w14:textId="5DAEDEB6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gebėti paskatinti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besimokančiųjų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gebėjimą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priimti savo socialines problemas ir analizuoti savo stipriąsias, silpnąsias puses, galimybes ir grėsmes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/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riziką,</w:t>
            </w:r>
          </w:p>
          <w:p w:rsidR="00701498" w:rsidP="0057653D" w:rsidRDefault="006A038A" w14:paraId="08B62715" w14:textId="325DECDC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gebė</w:t>
            </w:r>
            <w:r w:rsidR="005E45D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ti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inicijuoti 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besimokančiųjų bendravimą</w:t>
            </w:r>
            <w:r w:rsidR="005E45D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, 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skatinant </w:t>
            </w:r>
            <w:r w:rsidR="00701498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socialinį dialogą, </w:t>
            </w:r>
            <w:r w:rsidR="00861E26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pažiūrų, tolerancijos plėtrą. </w:t>
            </w:r>
          </w:p>
          <w:p w:rsidRPr="00F71B10" w:rsidR="0057653D" w:rsidP="0057653D" w:rsidRDefault="00861E26" w14:paraId="06A52B05" w14:textId="462A6F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Gebės taikyti</w:t>
            </w:r>
            <w:r w:rsidR="00C042C8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metodus </w:t>
            </w:r>
            <w:r w:rsidR="00C042C8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skatinančius jaunimo 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savarankišku</w:t>
            </w:r>
            <w:r w:rsidR="00C042C8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mą priimant sprendimus ir pasirenkant  veiksmus, </w:t>
            </w:r>
            <w:r w:rsidRPr="00F71B10" w:rsidR="0057653D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siekiant racionaliau ir tvariau spręsti savo socialines problemas,</w:t>
            </w:r>
          </w:p>
          <w:p w:rsidRPr="00F71B10" w:rsidR="0057653D" w:rsidP="1CA4260D" w:rsidRDefault="00C042C8" w14:paraId="097000B0" w14:textId="3648335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</w:pPr>
            <w:r w:rsidRPr="1CA4260D" w:rsidR="00C042C8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Gebės </w:t>
            </w:r>
            <w:r w:rsidRPr="1CA4260D" w:rsidR="0042358B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mokyti jaunimą </w:t>
            </w:r>
            <w:r w:rsidRPr="1CA4260D" w:rsidR="00C042C8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taikyti </w:t>
            </w:r>
            <w:r w:rsidRPr="1CA4260D" w:rsidR="004D0FD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socialinių </w:t>
            </w:r>
            <w:r w:rsidRPr="1CA4260D" w:rsidR="0042358B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>iššūkių</w:t>
            </w:r>
            <w:r w:rsidRPr="1CA4260D" w:rsidR="004D0FDD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1CA4260D" w:rsidR="0042358B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mažinimo </w:t>
            </w:r>
            <w:r w:rsidRPr="1CA4260D" w:rsidR="4EC0ABA0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7</w:t>
            </w:r>
            <w:r w:rsidRPr="1CA4260D" w:rsidR="0042358B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žingsnių programą. </w:t>
            </w:r>
          </w:p>
          <w:p w:rsidRPr="00F71B10" w:rsidR="0091783A" w:rsidP="0057653D" w:rsidRDefault="0057653D" w14:paraId="4F6B0701" w14:textId="62273F97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</w:pP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įvertinti savo mokym</w:t>
            </w:r>
            <w:r w:rsidR="0042358B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>ų</w:t>
            </w:r>
            <w:r w:rsidRPr="00F71B10">
              <w:rPr>
                <w:rFonts w:cstheme="minorHAnsi"/>
                <w:sz w:val="20"/>
                <w:szCs w:val="20"/>
                <w:shd w:val="clear" w:color="auto" w:fill="FFFFFF"/>
                <w:lang w:val="lt-LT"/>
              </w:rPr>
              <w:t xml:space="preserve"> tinkamumą besimokančiųjų socialinių iššūkių kontekste.</w:t>
            </w:r>
          </w:p>
        </w:tc>
      </w:tr>
      <w:tr w:rsidRPr="00F71B10" w:rsidR="008E06B4" w:rsidTr="2F199E06" w14:paraId="736E6886" w14:textId="77777777">
        <w:tc>
          <w:tcPr>
            <w:tcW w:w="4531" w:type="dxa"/>
            <w:tcMar/>
          </w:tcPr>
          <w:p w:rsidRPr="00F71B10" w:rsidR="008E06B4" w:rsidP="3B33AB1F" w:rsidRDefault="008E06B4" w14:paraId="468F6504" w14:textId="44BC041C">
            <w:pPr>
              <w:pStyle w:val="ListParagraph"/>
              <w:numPr>
                <w:ilvl w:val="0"/>
                <w:numId w:val="1"/>
              </w:numPr>
              <w:ind/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lang w:val="lt-LT"/>
              </w:rPr>
            </w:pPr>
            <w:r w:rsidRPr="1C1FF670" w:rsidR="7F3C6B6D">
              <w:rPr>
                <w:rFonts w:cs="Calibri" w:cstheme="minorAscii"/>
                <w:b w:val="1"/>
                <w:bCs w:val="1"/>
                <w:sz w:val="20"/>
                <w:szCs w:val="20"/>
                <w:lang w:val="lt-LT"/>
              </w:rPr>
              <w:t>Mokymų modelį paruošė</w:t>
            </w:r>
          </w:p>
          <w:p w:rsidRPr="00F71B10" w:rsidR="008E06B4" w:rsidP="1CA4260D" w:rsidRDefault="008E06B4" w14:paraId="4B488D64" w14:textId="332E97D8">
            <w:pPr>
              <w:pStyle w:val="Normal"/>
              <w:ind w:left="360"/>
              <w:jc w:val="both"/>
              <w:rPr>
                <w:rFonts w:cs="Calibri" w:cstheme="minorAscii"/>
                <w:b w:val="1"/>
                <w:bCs w:val="1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4531" w:type="dxa"/>
            <w:tcMar/>
          </w:tcPr>
          <w:p w:rsidR="3B33AB1F" w:rsidP="5A21CE64" w:rsidRDefault="3B33AB1F" w14:paraId="29F346DA" w14:textId="0536CE80">
            <w:pPr>
              <w:pStyle w:val="ListParagraph"/>
              <w:numPr>
                <w:ilvl w:val="0"/>
                <w:numId w:val="2"/>
              </w:numPr>
              <w:jc w:val="both"/>
              <w:rPr>
                <w:noProof w:val="0"/>
                <w:lang w:val="lt-LT"/>
              </w:rPr>
            </w:pPr>
            <w:r w:rsidRPr="5A21CE64" w:rsidR="2B823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Social Innovation and Cohesion Institute</w:t>
            </w:r>
          </w:p>
          <w:p w:rsidRPr="00F71B10" w:rsidR="0057653D" w:rsidP="3B33AB1F" w:rsidRDefault="0057653D" w14:paraId="3965049A" w14:textId="711B7C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Calibri" w:cstheme="minorAscii"/>
                <w:i w:val="1"/>
                <w:iCs w:val="1"/>
                <w:sz w:val="20"/>
                <w:szCs w:val="20"/>
                <w:shd w:val="clear" w:color="auto" w:fill="FFFFFF"/>
                <w:lang w:val="lt-LT"/>
              </w:rPr>
            </w:pPr>
            <w:r w:rsidRPr="3B33AB1F" w:rsidR="5090E1A9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(Graikija: </w:t>
            </w:r>
            <w:hyperlink w:history="1" r:id="R793cbfaf2fa84c42">
              <w:r w:rsidRPr="3B33AB1F" w:rsidR="00442EA1">
                <w:rPr>
                  <w:rStyle w:val="Hyperlink"/>
                  <w:rFonts w:cs="Calibri" w:cstheme="minorAscii"/>
                  <w:sz w:val="20"/>
                  <w:szCs w:val="20"/>
                  <w:shd w:val="clear" w:color="auto" w:fill="FFFFFF"/>
                  <w:lang w:val="lt-LT"/>
                </w:rPr>
                <w:t>www.fifty-fifty.gr</w:t>
              </w:r>
            </w:hyperlink>
            <w:r w:rsidRPr="3B33AB1F" w:rsidR="00442EA1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3B33AB1F" w:rsidR="752DFD74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).</w:t>
            </w:r>
            <w:r w:rsidRPr="1CA4260D" w:rsidR="752DFD74">
              <w:rPr>
                <w:rFonts w:cs="Calibri" w:cstheme="minorAscii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</w:p>
        </w:tc>
      </w:tr>
    </w:tbl>
    <w:p w:rsidRPr="00F71B10" w:rsidR="003706BC" w:rsidP="00D74175" w:rsidRDefault="003706BC" w14:paraId="4902ACD4" w14:textId="604C1EDE">
      <w:pPr>
        <w:rPr>
          <w:rFonts w:cstheme="minorHAnsi"/>
          <w:sz w:val="20"/>
          <w:szCs w:val="20"/>
          <w:lang w:val="lt-LT"/>
        </w:rPr>
      </w:pPr>
    </w:p>
    <w:sectPr w:rsidRPr="00F71B10" w:rsidR="003706BC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445A" w:rsidP="003706BC" w:rsidRDefault="00FE445A" w14:paraId="457C3BE4" w14:textId="77777777">
      <w:pPr>
        <w:spacing w:after="0" w:line="240" w:lineRule="auto"/>
      </w:pPr>
      <w:r>
        <w:separator/>
      </w:r>
    </w:p>
  </w:endnote>
  <w:endnote w:type="continuationSeparator" w:id="0">
    <w:p w:rsidR="00FE445A" w:rsidP="003706BC" w:rsidRDefault="00FE445A" w14:paraId="3EE110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026B" w:rsidRDefault="0042026B" w14:paraId="0309C045" w14:textId="2310DCB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445A" w:rsidP="003706BC" w:rsidRDefault="00FE445A" w14:paraId="6D1AF9C2" w14:textId="77777777">
      <w:pPr>
        <w:spacing w:after="0" w:line="240" w:lineRule="auto"/>
      </w:pPr>
      <w:r>
        <w:separator/>
      </w:r>
    </w:p>
  </w:footnote>
  <w:footnote w:type="continuationSeparator" w:id="0">
    <w:p w:rsidR="00FE445A" w:rsidP="003706BC" w:rsidRDefault="00FE445A" w14:paraId="131DEF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06BC" w:rsidRDefault="00DB4B63" w14:paraId="4F02D287" w14:textId="0356EEDC">
    <w:pPr>
      <w:pStyle w:val="Header"/>
    </w:pPr>
    <w:r>
      <w:rPr>
        <w:noProof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6BC" w:rsidRDefault="003706BC" w14:paraId="4DC877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834"/>
    <w:multiLevelType w:val="hybridMultilevel"/>
    <w:tmpl w:val="AF3C0D02"/>
    <w:lvl w:ilvl="0" w:tplc="DC1A7D1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957D9F"/>
    <w:multiLevelType w:val="hybridMultilevel"/>
    <w:tmpl w:val="F53EE486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15AC"/>
    <w:multiLevelType w:val="hybridMultilevel"/>
    <w:tmpl w:val="BACA709C"/>
    <w:lvl w:ilvl="0" w:tplc="62805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175BB"/>
    <w:multiLevelType w:val="hybridMultilevel"/>
    <w:tmpl w:val="A7D8993A"/>
    <w:lvl w:ilvl="0" w:tplc="DC1A7D1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414629"/>
    <w:multiLevelType w:val="hybridMultilevel"/>
    <w:tmpl w:val="CCB6F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7258"/>
    <w:multiLevelType w:val="hybridMultilevel"/>
    <w:tmpl w:val="E43EBD72"/>
    <w:lvl w:ilvl="0" w:tplc="DC1A7D1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0597928">
    <w:abstractNumId w:val="1"/>
  </w:num>
  <w:num w:numId="2" w16cid:durableId="2079016087">
    <w:abstractNumId w:val="0"/>
  </w:num>
  <w:num w:numId="3" w16cid:durableId="807473940">
    <w:abstractNumId w:val="4"/>
  </w:num>
  <w:num w:numId="4" w16cid:durableId="1977173394">
    <w:abstractNumId w:val="7"/>
  </w:num>
  <w:num w:numId="5" w16cid:durableId="1506745409">
    <w:abstractNumId w:val="5"/>
  </w:num>
  <w:num w:numId="6" w16cid:durableId="19625424">
    <w:abstractNumId w:val="3"/>
  </w:num>
  <w:num w:numId="7" w16cid:durableId="151216551">
    <w:abstractNumId w:val="2"/>
  </w:num>
  <w:num w:numId="8" w16cid:durableId="726419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15B7F"/>
    <w:rsid w:val="00031D71"/>
    <w:rsid w:val="00031EA4"/>
    <w:rsid w:val="000374C9"/>
    <w:rsid w:val="00045483"/>
    <w:rsid w:val="0007638B"/>
    <w:rsid w:val="00081B4A"/>
    <w:rsid w:val="00092005"/>
    <w:rsid w:val="00092863"/>
    <w:rsid w:val="00096239"/>
    <w:rsid w:val="00097B07"/>
    <w:rsid w:val="000A58A2"/>
    <w:rsid w:val="000A699C"/>
    <w:rsid w:val="000B51BC"/>
    <w:rsid w:val="000C20C2"/>
    <w:rsid w:val="000C4D01"/>
    <w:rsid w:val="000E3B1F"/>
    <w:rsid w:val="000E4E32"/>
    <w:rsid w:val="000F378B"/>
    <w:rsid w:val="00107EF0"/>
    <w:rsid w:val="00114790"/>
    <w:rsid w:val="00116478"/>
    <w:rsid w:val="001256A7"/>
    <w:rsid w:val="00133AC7"/>
    <w:rsid w:val="0014051B"/>
    <w:rsid w:val="00153311"/>
    <w:rsid w:val="001B35F9"/>
    <w:rsid w:val="001B5DA9"/>
    <w:rsid w:val="001E2454"/>
    <w:rsid w:val="0020216E"/>
    <w:rsid w:val="00212DF8"/>
    <w:rsid w:val="00216CFD"/>
    <w:rsid w:val="00222FA5"/>
    <w:rsid w:val="002234D0"/>
    <w:rsid w:val="00226D71"/>
    <w:rsid w:val="00230FAF"/>
    <w:rsid w:val="002561C0"/>
    <w:rsid w:val="002A3C33"/>
    <w:rsid w:val="002C0EE4"/>
    <w:rsid w:val="002D1E82"/>
    <w:rsid w:val="002D6622"/>
    <w:rsid w:val="002F0C69"/>
    <w:rsid w:val="00315582"/>
    <w:rsid w:val="0031672A"/>
    <w:rsid w:val="00316B11"/>
    <w:rsid w:val="003232CA"/>
    <w:rsid w:val="00335778"/>
    <w:rsid w:val="00342F6F"/>
    <w:rsid w:val="00347A81"/>
    <w:rsid w:val="00362084"/>
    <w:rsid w:val="003706BC"/>
    <w:rsid w:val="003A0BEA"/>
    <w:rsid w:val="003C5844"/>
    <w:rsid w:val="003F050B"/>
    <w:rsid w:val="003F11B9"/>
    <w:rsid w:val="003F7111"/>
    <w:rsid w:val="00400505"/>
    <w:rsid w:val="00403316"/>
    <w:rsid w:val="0041748E"/>
    <w:rsid w:val="0042026B"/>
    <w:rsid w:val="0042358B"/>
    <w:rsid w:val="00432A21"/>
    <w:rsid w:val="00442EA1"/>
    <w:rsid w:val="00450A5D"/>
    <w:rsid w:val="00476DAA"/>
    <w:rsid w:val="004801A5"/>
    <w:rsid w:val="0048784E"/>
    <w:rsid w:val="00495D37"/>
    <w:rsid w:val="004D0FDD"/>
    <w:rsid w:val="004D1581"/>
    <w:rsid w:val="004D1D1B"/>
    <w:rsid w:val="004D5E21"/>
    <w:rsid w:val="004E43A9"/>
    <w:rsid w:val="004E523D"/>
    <w:rsid w:val="004E76DE"/>
    <w:rsid w:val="00505669"/>
    <w:rsid w:val="00506E1E"/>
    <w:rsid w:val="00537EB7"/>
    <w:rsid w:val="0055434C"/>
    <w:rsid w:val="00563E33"/>
    <w:rsid w:val="005646C1"/>
    <w:rsid w:val="00567762"/>
    <w:rsid w:val="0057653D"/>
    <w:rsid w:val="005766CE"/>
    <w:rsid w:val="0059497D"/>
    <w:rsid w:val="005A20DC"/>
    <w:rsid w:val="005B2454"/>
    <w:rsid w:val="005D1014"/>
    <w:rsid w:val="005D3287"/>
    <w:rsid w:val="005E45DD"/>
    <w:rsid w:val="005F3488"/>
    <w:rsid w:val="00604E28"/>
    <w:rsid w:val="0062070D"/>
    <w:rsid w:val="00643358"/>
    <w:rsid w:val="0064550E"/>
    <w:rsid w:val="006830A6"/>
    <w:rsid w:val="006A038A"/>
    <w:rsid w:val="006A43D4"/>
    <w:rsid w:val="006A7050"/>
    <w:rsid w:val="006B0E74"/>
    <w:rsid w:val="006B50C9"/>
    <w:rsid w:val="006B596A"/>
    <w:rsid w:val="006C04FF"/>
    <w:rsid w:val="006D0B90"/>
    <w:rsid w:val="006E3563"/>
    <w:rsid w:val="00701498"/>
    <w:rsid w:val="00715CFD"/>
    <w:rsid w:val="00716554"/>
    <w:rsid w:val="00716A58"/>
    <w:rsid w:val="00741471"/>
    <w:rsid w:val="00746403"/>
    <w:rsid w:val="00746D8A"/>
    <w:rsid w:val="00760C11"/>
    <w:rsid w:val="007648B5"/>
    <w:rsid w:val="007669FB"/>
    <w:rsid w:val="00784F8D"/>
    <w:rsid w:val="007C6E84"/>
    <w:rsid w:val="007D204F"/>
    <w:rsid w:val="007D7C71"/>
    <w:rsid w:val="007F216F"/>
    <w:rsid w:val="007F4A81"/>
    <w:rsid w:val="007F4DB4"/>
    <w:rsid w:val="0080561C"/>
    <w:rsid w:val="008154D9"/>
    <w:rsid w:val="00855C6A"/>
    <w:rsid w:val="00861E26"/>
    <w:rsid w:val="00881B0A"/>
    <w:rsid w:val="0089531D"/>
    <w:rsid w:val="008A10CB"/>
    <w:rsid w:val="008A212A"/>
    <w:rsid w:val="008A530C"/>
    <w:rsid w:val="008D511A"/>
    <w:rsid w:val="008D5C7B"/>
    <w:rsid w:val="008E06B4"/>
    <w:rsid w:val="00906DF0"/>
    <w:rsid w:val="00911D2B"/>
    <w:rsid w:val="0091783A"/>
    <w:rsid w:val="0092730F"/>
    <w:rsid w:val="00931600"/>
    <w:rsid w:val="00940151"/>
    <w:rsid w:val="00944424"/>
    <w:rsid w:val="0095071A"/>
    <w:rsid w:val="00950998"/>
    <w:rsid w:val="00966D0A"/>
    <w:rsid w:val="00973370"/>
    <w:rsid w:val="009B74A8"/>
    <w:rsid w:val="009D0AC8"/>
    <w:rsid w:val="009D6B24"/>
    <w:rsid w:val="009E3D8F"/>
    <w:rsid w:val="009E4303"/>
    <w:rsid w:val="009F48DC"/>
    <w:rsid w:val="00A25648"/>
    <w:rsid w:val="00A3137A"/>
    <w:rsid w:val="00A3385D"/>
    <w:rsid w:val="00A35D25"/>
    <w:rsid w:val="00A372D8"/>
    <w:rsid w:val="00A44202"/>
    <w:rsid w:val="00A44BA4"/>
    <w:rsid w:val="00A93874"/>
    <w:rsid w:val="00AA26CE"/>
    <w:rsid w:val="00AB2CDC"/>
    <w:rsid w:val="00AB55FF"/>
    <w:rsid w:val="00AC0100"/>
    <w:rsid w:val="00AC0845"/>
    <w:rsid w:val="00AD04A7"/>
    <w:rsid w:val="00AF3978"/>
    <w:rsid w:val="00B02782"/>
    <w:rsid w:val="00B3481D"/>
    <w:rsid w:val="00B51B93"/>
    <w:rsid w:val="00B53EC7"/>
    <w:rsid w:val="00B62B33"/>
    <w:rsid w:val="00B73F14"/>
    <w:rsid w:val="00B760EE"/>
    <w:rsid w:val="00B77A6C"/>
    <w:rsid w:val="00B84A1B"/>
    <w:rsid w:val="00B9124C"/>
    <w:rsid w:val="00BA14F7"/>
    <w:rsid w:val="00BB583A"/>
    <w:rsid w:val="00BC3552"/>
    <w:rsid w:val="00BC44B0"/>
    <w:rsid w:val="00BD65E5"/>
    <w:rsid w:val="00BF16C7"/>
    <w:rsid w:val="00C042C8"/>
    <w:rsid w:val="00C37AF6"/>
    <w:rsid w:val="00C6191B"/>
    <w:rsid w:val="00C6607F"/>
    <w:rsid w:val="00C76851"/>
    <w:rsid w:val="00C77646"/>
    <w:rsid w:val="00C948CD"/>
    <w:rsid w:val="00C96E2B"/>
    <w:rsid w:val="00CA4158"/>
    <w:rsid w:val="00CA506C"/>
    <w:rsid w:val="00CE216E"/>
    <w:rsid w:val="00CF52A0"/>
    <w:rsid w:val="00CF5699"/>
    <w:rsid w:val="00D0459E"/>
    <w:rsid w:val="00D06284"/>
    <w:rsid w:val="00D104F3"/>
    <w:rsid w:val="00D11E21"/>
    <w:rsid w:val="00D26950"/>
    <w:rsid w:val="00D34603"/>
    <w:rsid w:val="00D543F5"/>
    <w:rsid w:val="00D66BBC"/>
    <w:rsid w:val="00D67A4A"/>
    <w:rsid w:val="00D70F54"/>
    <w:rsid w:val="00D74175"/>
    <w:rsid w:val="00D77463"/>
    <w:rsid w:val="00D83EA3"/>
    <w:rsid w:val="00DA34D0"/>
    <w:rsid w:val="00DA7D67"/>
    <w:rsid w:val="00DB04C5"/>
    <w:rsid w:val="00DB16A9"/>
    <w:rsid w:val="00DB4B63"/>
    <w:rsid w:val="00DC45C6"/>
    <w:rsid w:val="00DD3A3E"/>
    <w:rsid w:val="00E3396B"/>
    <w:rsid w:val="00E37DF3"/>
    <w:rsid w:val="00E52581"/>
    <w:rsid w:val="00E645C8"/>
    <w:rsid w:val="00E7608D"/>
    <w:rsid w:val="00E94BD5"/>
    <w:rsid w:val="00EB63C9"/>
    <w:rsid w:val="00EC34BF"/>
    <w:rsid w:val="00EE7D5B"/>
    <w:rsid w:val="00EF5DBC"/>
    <w:rsid w:val="00F1159C"/>
    <w:rsid w:val="00F16BA2"/>
    <w:rsid w:val="00F352A0"/>
    <w:rsid w:val="00F35462"/>
    <w:rsid w:val="00F45219"/>
    <w:rsid w:val="00F47862"/>
    <w:rsid w:val="00F50FA7"/>
    <w:rsid w:val="00F553C1"/>
    <w:rsid w:val="00F64A31"/>
    <w:rsid w:val="00F6782A"/>
    <w:rsid w:val="00F71B10"/>
    <w:rsid w:val="00F827A9"/>
    <w:rsid w:val="00FA0DBB"/>
    <w:rsid w:val="00FA2C07"/>
    <w:rsid w:val="00FA2D21"/>
    <w:rsid w:val="00FA5FB3"/>
    <w:rsid w:val="00FA7F13"/>
    <w:rsid w:val="00FB4783"/>
    <w:rsid w:val="00FC12B9"/>
    <w:rsid w:val="00FD48D2"/>
    <w:rsid w:val="00FD4A7C"/>
    <w:rsid w:val="00FE445A"/>
    <w:rsid w:val="00FE59BC"/>
    <w:rsid w:val="0285CF78"/>
    <w:rsid w:val="065C9471"/>
    <w:rsid w:val="082A1F5D"/>
    <w:rsid w:val="084AFE55"/>
    <w:rsid w:val="0DF6EC20"/>
    <w:rsid w:val="0E6F1DBC"/>
    <w:rsid w:val="17A29276"/>
    <w:rsid w:val="1A6C0378"/>
    <w:rsid w:val="1C1FF670"/>
    <w:rsid w:val="1CA4260D"/>
    <w:rsid w:val="1DAF3755"/>
    <w:rsid w:val="1DD88DD7"/>
    <w:rsid w:val="1E19C2CC"/>
    <w:rsid w:val="1F86C3F9"/>
    <w:rsid w:val="225B7EE1"/>
    <w:rsid w:val="245A351C"/>
    <w:rsid w:val="24F3B5A5"/>
    <w:rsid w:val="2AB449B8"/>
    <w:rsid w:val="2B8235D6"/>
    <w:rsid w:val="2C042136"/>
    <w:rsid w:val="2D9A599E"/>
    <w:rsid w:val="2F199E06"/>
    <w:rsid w:val="30C953D6"/>
    <w:rsid w:val="32DC760B"/>
    <w:rsid w:val="361416CD"/>
    <w:rsid w:val="37AFE72E"/>
    <w:rsid w:val="388427D5"/>
    <w:rsid w:val="3B33AB1F"/>
    <w:rsid w:val="3C111A96"/>
    <w:rsid w:val="420872CA"/>
    <w:rsid w:val="473682E8"/>
    <w:rsid w:val="486E6EC6"/>
    <w:rsid w:val="48A23925"/>
    <w:rsid w:val="48A6FE82"/>
    <w:rsid w:val="4EC0ABA0"/>
    <w:rsid w:val="5090E1A9"/>
    <w:rsid w:val="54E3EDD6"/>
    <w:rsid w:val="59AC1FE2"/>
    <w:rsid w:val="5A21CE64"/>
    <w:rsid w:val="5CBEA7FD"/>
    <w:rsid w:val="5DBF42DD"/>
    <w:rsid w:val="5DD99DCE"/>
    <w:rsid w:val="622BB533"/>
    <w:rsid w:val="6339D9CB"/>
    <w:rsid w:val="6AB08475"/>
    <w:rsid w:val="6CFC667E"/>
    <w:rsid w:val="752DFD74"/>
    <w:rsid w:val="772CD634"/>
    <w:rsid w:val="78713E74"/>
    <w:rsid w:val="7F3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06BC"/>
  </w:style>
  <w:style w:type="paragraph" w:styleId="Footer">
    <w:name w:val="footer"/>
    <w:basedOn w:val="Normal"/>
    <w:link w:val="FooterChar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06BC"/>
  </w:style>
  <w:style w:type="table" w:styleId="TableGrid">
    <w:name w:val="Table Grid"/>
    <w:basedOn w:val="TableNormal"/>
    <w:uiPriority w:val="39"/>
    <w:rsid w:val="00B84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84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www.fifty-fifty.gr" TargetMode="External" Id="R793cbfaf2fa84c4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75614-B4D9-444A-AF66-9B55C4179DC8}"/>
</file>

<file path=customXml/itemProps2.xml><?xml version="1.0" encoding="utf-8"?>
<ds:datastoreItem xmlns:ds="http://schemas.openxmlformats.org/officeDocument/2006/customXml" ds:itemID="{B2067FB7-440A-470F-96CD-C4B1A31EC1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0A61A0-1841-4140-97C7-1CFE09141F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Saida Jurkienė</cp:lastModifiedBy>
  <cp:revision>239</cp:revision>
  <cp:lastPrinted>2021-06-18T10:29:00Z</cp:lastPrinted>
  <dcterms:created xsi:type="dcterms:W3CDTF">2021-06-21T11:52:00Z</dcterms:created>
  <dcterms:modified xsi:type="dcterms:W3CDTF">2023-02-01T06:36:44Z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